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523C" w14:textId="77777777" w:rsidR="00E51981" w:rsidRDefault="00985D4E" w:rsidP="00E51981">
      <w:pPr>
        <w:pStyle w:val="NoSpacing"/>
        <w:jc w:val="center"/>
        <w:rPr>
          <w:b/>
          <w:u w:val="single"/>
        </w:rPr>
      </w:pPr>
      <w:r>
        <w:rPr>
          <w:b/>
          <w:u w:val="single"/>
        </w:rPr>
        <w:t>ECO</w:t>
      </w:r>
      <w:r w:rsidR="007640A2">
        <w:rPr>
          <w:b/>
          <w:u w:val="single"/>
        </w:rPr>
        <w:t>-</w:t>
      </w:r>
      <w:r>
        <w:rPr>
          <w:b/>
          <w:u w:val="single"/>
        </w:rPr>
        <w:t>3</w:t>
      </w:r>
      <w:r w:rsidR="00E51981">
        <w:rPr>
          <w:b/>
          <w:u w:val="single"/>
        </w:rPr>
        <w:t xml:space="preserve"> - </w:t>
      </w:r>
      <w:r w:rsidR="00E51981" w:rsidRPr="00E51981">
        <w:rPr>
          <w:b/>
          <w:u w:val="single"/>
        </w:rPr>
        <w:t>Statement of Intent</w:t>
      </w:r>
    </w:p>
    <w:p w14:paraId="58339E57" w14:textId="77777777" w:rsidR="00E51981" w:rsidRDefault="00E51981" w:rsidP="00E51981">
      <w:pPr>
        <w:pStyle w:val="NoSpacing"/>
        <w:jc w:val="center"/>
        <w:rPr>
          <w:b/>
          <w:u w:val="single"/>
        </w:rPr>
      </w:pPr>
    </w:p>
    <w:p w14:paraId="4F4E4194" w14:textId="77777777" w:rsidR="00E51981" w:rsidRDefault="00E51981" w:rsidP="00E51981">
      <w:pPr>
        <w:pStyle w:val="NoSpacing"/>
      </w:pPr>
      <w:r w:rsidRPr="00E51981">
        <w:rPr>
          <w:b/>
        </w:rPr>
        <w:t>Local Authority:</w:t>
      </w:r>
      <w:r w:rsidRPr="00E51981">
        <w:rPr>
          <w:b/>
        </w:rPr>
        <w:tab/>
      </w:r>
      <w:r w:rsidRPr="00E51981">
        <w:t>South Ayrshire Council</w:t>
      </w:r>
    </w:p>
    <w:p w14:paraId="083699AB" w14:textId="77777777" w:rsidR="00E51981" w:rsidRDefault="00E51981" w:rsidP="00E51981">
      <w:pPr>
        <w:pStyle w:val="NoSpacing"/>
      </w:pPr>
      <w:r w:rsidRPr="00E51981">
        <w:rPr>
          <w:b/>
        </w:rPr>
        <w:t>Managing Agent:</w:t>
      </w:r>
      <w:r>
        <w:tab/>
        <w:t>Energy Agency</w:t>
      </w:r>
    </w:p>
    <w:p w14:paraId="31B1F2DD" w14:textId="71DC99DF" w:rsidR="00E51981" w:rsidRDefault="00E51981" w:rsidP="00E51981">
      <w:pPr>
        <w:pStyle w:val="NoSpacing"/>
        <w:rPr>
          <w:color w:val="FF0000"/>
        </w:rPr>
      </w:pPr>
      <w:r w:rsidRPr="00E51981">
        <w:rPr>
          <w:b/>
        </w:rPr>
        <w:t>Date of Publication:</w:t>
      </w:r>
      <w:r>
        <w:tab/>
      </w:r>
      <w:r w:rsidR="002A2D73">
        <w:rPr>
          <w:color w:val="FF0000"/>
        </w:rPr>
        <w:t>4/1/2021</w:t>
      </w:r>
    </w:p>
    <w:p w14:paraId="12BED58A" w14:textId="67D8AD74" w:rsidR="00E51981" w:rsidRDefault="00E51981" w:rsidP="00E51981">
      <w:pPr>
        <w:pStyle w:val="NoSpacing"/>
      </w:pPr>
      <w:r w:rsidRPr="00E51981">
        <w:rPr>
          <w:b/>
        </w:rPr>
        <w:t>Version:</w:t>
      </w:r>
      <w:r>
        <w:tab/>
      </w:r>
      <w:r>
        <w:tab/>
      </w:r>
      <w:r w:rsidR="00D04CAF">
        <w:t xml:space="preserve">ABS - </w:t>
      </w:r>
      <w:r w:rsidR="0063412C">
        <w:t>003</w:t>
      </w:r>
    </w:p>
    <w:p w14:paraId="3E12CD06" w14:textId="5F5B61BA" w:rsidR="008F04EA" w:rsidRDefault="00E51981" w:rsidP="00E51981">
      <w:pPr>
        <w:pStyle w:val="NoSpacing"/>
        <w:rPr>
          <w:color w:val="FF0000"/>
        </w:rPr>
      </w:pPr>
      <w:r w:rsidRPr="00E51981">
        <w:rPr>
          <w:b/>
        </w:rPr>
        <w:t>Published:</w:t>
      </w:r>
      <w:r>
        <w:tab/>
      </w:r>
      <w:r>
        <w:tab/>
      </w:r>
    </w:p>
    <w:p w14:paraId="72503A5D" w14:textId="77777777" w:rsidR="00CE559D" w:rsidRDefault="00CE559D" w:rsidP="00E51981">
      <w:pPr>
        <w:pStyle w:val="NoSpacing"/>
        <w:rPr>
          <w:color w:val="FF0000"/>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5"/>
      </w:tblGrid>
      <w:tr w:rsidR="00985D4E" w14:paraId="26E000EE" w14:textId="77777777" w:rsidTr="00AF5EAD">
        <w:tc>
          <w:tcPr>
            <w:tcW w:w="851" w:type="dxa"/>
          </w:tcPr>
          <w:p w14:paraId="0ADC042A" w14:textId="77777777" w:rsidR="00985D4E" w:rsidRPr="00950E57" w:rsidRDefault="00985D4E" w:rsidP="00985D4E">
            <w:pPr>
              <w:pStyle w:val="NoSpacing"/>
              <w:rPr>
                <w:b/>
              </w:rPr>
            </w:pPr>
            <w:r>
              <w:rPr>
                <w:b/>
              </w:rPr>
              <w:t>1.0</w:t>
            </w:r>
            <w:r w:rsidRPr="00950E57">
              <w:rPr>
                <w:b/>
              </w:rPr>
              <w:t xml:space="preserve">  </w:t>
            </w:r>
          </w:p>
          <w:p w14:paraId="359874D5" w14:textId="77777777" w:rsidR="00985D4E" w:rsidRDefault="00985D4E" w:rsidP="00E51981">
            <w:pPr>
              <w:pStyle w:val="NoSpacing"/>
              <w:rPr>
                <w:b/>
              </w:rPr>
            </w:pPr>
          </w:p>
          <w:p w14:paraId="34C6E459" w14:textId="77777777" w:rsidR="00985D4E" w:rsidRPr="00985D4E" w:rsidRDefault="00985D4E" w:rsidP="00E51981">
            <w:pPr>
              <w:pStyle w:val="NoSpacing"/>
            </w:pPr>
            <w:r>
              <w:t>1.1</w:t>
            </w:r>
          </w:p>
        </w:tc>
        <w:tc>
          <w:tcPr>
            <w:tcW w:w="8505" w:type="dxa"/>
          </w:tcPr>
          <w:p w14:paraId="4D33036C" w14:textId="77777777" w:rsidR="00985D4E" w:rsidRDefault="00985D4E" w:rsidP="00E51981">
            <w:pPr>
              <w:pStyle w:val="NoSpacing"/>
              <w:rPr>
                <w:b/>
              </w:rPr>
            </w:pPr>
            <w:r w:rsidRPr="00950E57">
              <w:rPr>
                <w:b/>
              </w:rPr>
              <w:t>Introduction</w:t>
            </w:r>
          </w:p>
          <w:p w14:paraId="39171EF3" w14:textId="77777777" w:rsidR="00985D4E" w:rsidRDefault="00985D4E" w:rsidP="00E51981">
            <w:pPr>
              <w:pStyle w:val="NoSpacing"/>
              <w:rPr>
                <w:b/>
              </w:rPr>
            </w:pPr>
          </w:p>
          <w:p w14:paraId="470B2C84" w14:textId="77777777" w:rsidR="00985D4E" w:rsidRDefault="007640A2" w:rsidP="00D23B50">
            <w:pPr>
              <w:pStyle w:val="NoSpacing"/>
              <w:jc w:val="both"/>
              <w:rPr>
                <w:rFonts w:cs="Arial"/>
                <w:color w:val="000000"/>
                <w:szCs w:val="27"/>
                <w:shd w:val="clear" w:color="auto" w:fill="FFFFFF"/>
              </w:rPr>
            </w:pPr>
            <w:r w:rsidRPr="007640A2">
              <w:rPr>
                <w:rFonts w:cs="Arial"/>
                <w:color w:val="000000"/>
                <w:szCs w:val="27"/>
                <w:shd w:val="clear" w:color="auto" w:fill="FFFFFF"/>
              </w:rPr>
              <w:t>The Energy Company Obligation (ECO) is a government policy to help reduce carbon emissions and tackle fuel poverty.</w:t>
            </w:r>
            <w:r>
              <w:rPr>
                <w:rFonts w:cs="Arial"/>
                <w:color w:val="000000"/>
                <w:szCs w:val="27"/>
                <w:shd w:val="clear" w:color="auto" w:fill="FFFFFF"/>
              </w:rPr>
              <w:t xml:space="preserve">  </w:t>
            </w:r>
            <w:r w:rsidRPr="007640A2">
              <w:rPr>
                <w:rFonts w:cs="Arial"/>
                <w:color w:val="000000"/>
                <w:szCs w:val="27"/>
                <w:shd w:val="clear" w:color="auto" w:fill="FFFFFF"/>
              </w:rPr>
              <w:t xml:space="preserve">The scheme began in April 2013, and over time it has been amended. The </w:t>
            </w:r>
            <w:r>
              <w:rPr>
                <w:rFonts w:cs="Arial"/>
                <w:color w:val="000000"/>
                <w:szCs w:val="27"/>
                <w:shd w:val="clear" w:color="auto" w:fill="FFFFFF"/>
              </w:rPr>
              <w:t>latest changes to the scheme are to be implemented from 1</w:t>
            </w:r>
            <w:r w:rsidRPr="007640A2">
              <w:rPr>
                <w:rFonts w:cs="Arial"/>
                <w:color w:val="000000"/>
                <w:szCs w:val="27"/>
                <w:shd w:val="clear" w:color="auto" w:fill="FFFFFF"/>
                <w:vertAlign w:val="superscript"/>
              </w:rPr>
              <w:t>st</w:t>
            </w:r>
            <w:r>
              <w:rPr>
                <w:rFonts w:cs="Arial"/>
                <w:color w:val="000000"/>
                <w:szCs w:val="27"/>
                <w:shd w:val="clear" w:color="auto" w:fill="FFFFFF"/>
              </w:rPr>
              <w:t xml:space="preserve"> November 2018,</w:t>
            </w:r>
            <w:r w:rsidRPr="007640A2">
              <w:rPr>
                <w:rFonts w:cs="Arial"/>
                <w:color w:val="000000"/>
                <w:szCs w:val="27"/>
                <w:shd w:val="clear" w:color="auto" w:fill="FFFFFF"/>
              </w:rPr>
              <w:t xml:space="preserve"> the latest version of the scheme </w:t>
            </w:r>
            <w:r w:rsidR="00D23B50">
              <w:rPr>
                <w:rFonts w:cs="Arial"/>
                <w:color w:val="000000"/>
                <w:szCs w:val="27"/>
                <w:shd w:val="clear" w:color="auto" w:fill="FFFFFF"/>
              </w:rPr>
              <w:t xml:space="preserve">being </w:t>
            </w:r>
            <w:r>
              <w:rPr>
                <w:rFonts w:cs="Arial"/>
                <w:color w:val="000000"/>
                <w:szCs w:val="27"/>
                <w:shd w:val="clear" w:color="auto" w:fill="FFFFFF"/>
              </w:rPr>
              <w:t xml:space="preserve">termed </w:t>
            </w:r>
            <w:r w:rsidRPr="007640A2">
              <w:rPr>
                <w:rFonts w:cs="Arial"/>
                <w:color w:val="000000"/>
                <w:szCs w:val="27"/>
                <w:shd w:val="clear" w:color="auto" w:fill="FFFFFF"/>
              </w:rPr>
              <w:t>ECO</w:t>
            </w:r>
            <w:r>
              <w:rPr>
                <w:rFonts w:cs="Arial"/>
                <w:color w:val="000000"/>
                <w:szCs w:val="27"/>
                <w:shd w:val="clear" w:color="auto" w:fill="FFFFFF"/>
              </w:rPr>
              <w:t>-3</w:t>
            </w:r>
            <w:r w:rsidRPr="007640A2">
              <w:rPr>
                <w:rFonts w:cs="Arial"/>
                <w:color w:val="000000"/>
                <w:szCs w:val="27"/>
                <w:shd w:val="clear" w:color="auto" w:fill="FFFFFF"/>
              </w:rPr>
              <w:t>.</w:t>
            </w:r>
          </w:p>
          <w:p w14:paraId="12B78E6F" w14:textId="77777777" w:rsidR="007640A2" w:rsidRPr="007640A2" w:rsidRDefault="007640A2" w:rsidP="007640A2">
            <w:pPr>
              <w:pStyle w:val="NoSpacing"/>
              <w:rPr>
                <w:b/>
              </w:rPr>
            </w:pPr>
          </w:p>
        </w:tc>
      </w:tr>
      <w:tr w:rsidR="00985D4E" w14:paraId="5CF09B06" w14:textId="77777777" w:rsidTr="00AF5EAD">
        <w:tc>
          <w:tcPr>
            <w:tcW w:w="851" w:type="dxa"/>
          </w:tcPr>
          <w:p w14:paraId="7A9084AC" w14:textId="77777777" w:rsidR="00985D4E" w:rsidRPr="007640A2" w:rsidRDefault="007640A2" w:rsidP="00E51981">
            <w:pPr>
              <w:pStyle w:val="NoSpacing"/>
            </w:pPr>
            <w:r w:rsidRPr="007640A2">
              <w:t>1.2</w:t>
            </w:r>
          </w:p>
        </w:tc>
        <w:tc>
          <w:tcPr>
            <w:tcW w:w="8505" w:type="dxa"/>
          </w:tcPr>
          <w:p w14:paraId="153EAF00" w14:textId="77777777" w:rsidR="007640A2" w:rsidRDefault="007640A2" w:rsidP="00D23B50">
            <w:pPr>
              <w:pStyle w:val="NoSpacing"/>
              <w:jc w:val="both"/>
            </w:pPr>
            <w:r w:rsidRPr="007640A2">
              <w:t xml:space="preserve">Under ECO, </w:t>
            </w:r>
            <w:r>
              <w:t>e</w:t>
            </w:r>
            <w:r w:rsidRPr="007640A2">
              <w:t>nergy s</w:t>
            </w:r>
            <w:r w:rsidR="00655866">
              <w:t xml:space="preserve">uppliers have a legal obligation to provide funding for domestic energy efficiency measures </w:t>
            </w:r>
            <w:r w:rsidRPr="007640A2">
              <w:t>if they:</w:t>
            </w:r>
          </w:p>
          <w:p w14:paraId="20CC57DD" w14:textId="77777777" w:rsidR="007640A2" w:rsidRDefault="007640A2" w:rsidP="00D23B50">
            <w:pPr>
              <w:pStyle w:val="NoSpacing"/>
              <w:numPr>
                <w:ilvl w:val="0"/>
                <w:numId w:val="14"/>
              </w:numPr>
              <w:jc w:val="both"/>
            </w:pPr>
            <w:r w:rsidRPr="007640A2">
              <w:t>have more than 250,000 domestic customers</w:t>
            </w:r>
            <w:r>
              <w:t>.</w:t>
            </w:r>
          </w:p>
          <w:p w14:paraId="5A5369FD" w14:textId="77777777" w:rsidR="007640A2" w:rsidRPr="007640A2" w:rsidRDefault="007640A2" w:rsidP="00D23B50">
            <w:pPr>
              <w:pStyle w:val="NoSpacing"/>
              <w:numPr>
                <w:ilvl w:val="0"/>
                <w:numId w:val="14"/>
              </w:numPr>
              <w:jc w:val="both"/>
            </w:pPr>
            <w:r>
              <w:t>p</w:t>
            </w:r>
            <w:r w:rsidRPr="007640A2">
              <w:rPr>
                <w:rFonts w:cs="Arial"/>
                <w:color w:val="000000"/>
                <w:szCs w:val="27"/>
              </w:rPr>
              <w:t>rovide more than 400 gigawatt hours of electricity or more than 2,000 gigawatt hours of gas</w:t>
            </w:r>
            <w:r>
              <w:rPr>
                <w:rFonts w:cs="Arial"/>
                <w:color w:val="000000"/>
                <w:szCs w:val="27"/>
              </w:rPr>
              <w:t>.</w:t>
            </w:r>
          </w:p>
          <w:p w14:paraId="4D15EB4C" w14:textId="77777777" w:rsidR="00985D4E" w:rsidRDefault="00985D4E" w:rsidP="00D23B50">
            <w:pPr>
              <w:pStyle w:val="NoSpacing"/>
              <w:jc w:val="both"/>
              <w:rPr>
                <w:b/>
              </w:rPr>
            </w:pPr>
          </w:p>
        </w:tc>
      </w:tr>
      <w:tr w:rsidR="00D23B50" w14:paraId="4C4AAA4D" w14:textId="77777777" w:rsidTr="00AF5EAD">
        <w:tc>
          <w:tcPr>
            <w:tcW w:w="851" w:type="dxa"/>
          </w:tcPr>
          <w:p w14:paraId="15781BE9" w14:textId="77777777" w:rsidR="00D23B50" w:rsidRPr="00655866" w:rsidRDefault="00D23B50" w:rsidP="00E51981">
            <w:pPr>
              <w:pStyle w:val="NoSpacing"/>
            </w:pPr>
            <w:r>
              <w:t>1.3</w:t>
            </w:r>
          </w:p>
        </w:tc>
        <w:tc>
          <w:tcPr>
            <w:tcW w:w="8505" w:type="dxa"/>
          </w:tcPr>
          <w:p w14:paraId="3BD36E3F" w14:textId="77777777" w:rsidR="00D23B50" w:rsidRDefault="00D23B50" w:rsidP="00655866">
            <w:pPr>
              <w:pStyle w:val="NoSpacing"/>
              <w:jc w:val="both"/>
            </w:pPr>
            <w:r>
              <w:t>In ECO-2t, the predecessor to ECO-3, suppliers had two obligations:</w:t>
            </w:r>
          </w:p>
          <w:p w14:paraId="39392DFF" w14:textId="77777777" w:rsidR="00D23B50" w:rsidRDefault="00D23B50" w:rsidP="00D23B50">
            <w:pPr>
              <w:pStyle w:val="NoSpacing"/>
              <w:numPr>
                <w:ilvl w:val="0"/>
                <w:numId w:val="15"/>
              </w:numPr>
              <w:jc w:val="both"/>
            </w:pPr>
            <w:r>
              <w:t>Carbon Emissions Reduction Target (CERO)</w:t>
            </w:r>
          </w:p>
          <w:p w14:paraId="61A65192" w14:textId="77777777" w:rsidR="00D23B50" w:rsidRDefault="00D23B50" w:rsidP="00D23B50">
            <w:pPr>
              <w:pStyle w:val="NoSpacing"/>
              <w:numPr>
                <w:ilvl w:val="0"/>
                <w:numId w:val="15"/>
              </w:numPr>
              <w:jc w:val="both"/>
            </w:pPr>
            <w:r>
              <w:t>Home Heat Cost Reduction Obligation (HHCRO)</w:t>
            </w:r>
          </w:p>
          <w:p w14:paraId="4494483F" w14:textId="77777777" w:rsidR="00D23B50" w:rsidRDefault="00D23B50" w:rsidP="00C36689">
            <w:pPr>
              <w:pStyle w:val="NoSpacing"/>
              <w:jc w:val="both"/>
            </w:pPr>
            <w:r>
              <w:t xml:space="preserve">Under ECO-3, the CERO target has been removed leaving only the HHCRO target </w:t>
            </w:r>
            <w:r w:rsidR="00C36689">
              <w:t>which provides funding for fuel poor households, and low income households that are vulnerable to the effects of the cold.</w:t>
            </w:r>
          </w:p>
          <w:p w14:paraId="07A47C8C" w14:textId="77777777" w:rsidR="00C36689" w:rsidRDefault="00C36689" w:rsidP="00C36689">
            <w:pPr>
              <w:pStyle w:val="NoSpacing"/>
              <w:jc w:val="both"/>
            </w:pPr>
          </w:p>
        </w:tc>
      </w:tr>
      <w:tr w:rsidR="00985D4E" w14:paraId="759B0017" w14:textId="77777777" w:rsidTr="00AF5EAD">
        <w:tc>
          <w:tcPr>
            <w:tcW w:w="851" w:type="dxa"/>
          </w:tcPr>
          <w:p w14:paraId="67742296" w14:textId="77777777" w:rsidR="00985D4E" w:rsidRPr="00655866" w:rsidRDefault="00FF3D65" w:rsidP="00E51981">
            <w:pPr>
              <w:pStyle w:val="NoSpacing"/>
            </w:pPr>
            <w:r>
              <w:t>1.4</w:t>
            </w:r>
          </w:p>
        </w:tc>
        <w:tc>
          <w:tcPr>
            <w:tcW w:w="8505" w:type="dxa"/>
          </w:tcPr>
          <w:p w14:paraId="6D5FD3CB" w14:textId="26640A39" w:rsidR="00985D4E" w:rsidRDefault="00FF3D65" w:rsidP="00C36689">
            <w:pPr>
              <w:pStyle w:val="NoSpacing"/>
              <w:jc w:val="both"/>
              <w:rPr>
                <w:color w:val="000000"/>
              </w:rPr>
            </w:pPr>
            <w:r>
              <w:rPr>
                <w:color w:val="000000"/>
              </w:rPr>
              <w:t>Under HHCRO, a household is eligible if one of the occupants meets the Help to Heat eligibility criteria as</w:t>
            </w:r>
            <w:r w:rsidR="00C36689">
              <w:rPr>
                <w:color w:val="000000"/>
              </w:rPr>
              <w:t xml:space="preserve"> </w:t>
            </w:r>
            <w:r>
              <w:rPr>
                <w:color w:val="000000"/>
              </w:rPr>
              <w:t>set out</w:t>
            </w:r>
            <w:r w:rsidR="00C36689">
              <w:rPr>
                <w:color w:val="000000"/>
              </w:rPr>
              <w:t xml:space="preserve"> in OfGEM guidance</w:t>
            </w:r>
            <w:r w:rsidR="00D55C90">
              <w:rPr>
                <w:rStyle w:val="FootnoteReference"/>
                <w:color w:val="000000"/>
              </w:rPr>
              <w:footnoteReference w:id="1"/>
            </w:r>
            <w:r w:rsidR="00C36689">
              <w:rPr>
                <w:color w:val="000000"/>
              </w:rPr>
              <w:t>.  However, a supplier will now be able to achieve up to 25% of their obligation by installing measures in households</w:t>
            </w:r>
            <w:r>
              <w:rPr>
                <w:color w:val="000000"/>
              </w:rPr>
              <w:t xml:space="preserve"> that do not meet the Help to Heat criteria but are</w:t>
            </w:r>
            <w:r w:rsidR="00C36689">
              <w:rPr>
                <w:color w:val="000000"/>
              </w:rPr>
              <w:t xml:space="preserve"> declared eligible by Local Authorities. This new mechanism, known as Flexible Eligibility</w:t>
            </w:r>
            <w:r w:rsidR="00450027">
              <w:rPr>
                <w:color w:val="000000"/>
              </w:rPr>
              <w:t xml:space="preserve"> </w:t>
            </w:r>
            <w:r w:rsidR="00C36689">
              <w:rPr>
                <w:color w:val="000000"/>
              </w:rPr>
              <w:t xml:space="preserve">allows Local Authorities </w:t>
            </w:r>
            <w:r>
              <w:rPr>
                <w:color w:val="000000"/>
              </w:rPr>
              <w:t>to</w:t>
            </w:r>
            <w:r w:rsidR="00E64D8F">
              <w:rPr>
                <w:color w:val="000000"/>
              </w:rPr>
              <w:t xml:space="preserve"> set out their own eligibility criteria for HHCRO funding to help address local needs.</w:t>
            </w:r>
          </w:p>
          <w:p w14:paraId="104D03E4" w14:textId="77777777" w:rsidR="00C36689" w:rsidRDefault="00C36689" w:rsidP="00C36689">
            <w:pPr>
              <w:pStyle w:val="NoSpacing"/>
              <w:jc w:val="both"/>
              <w:rPr>
                <w:b/>
              </w:rPr>
            </w:pPr>
          </w:p>
        </w:tc>
      </w:tr>
      <w:tr w:rsidR="00985D4E" w14:paraId="344EEE4C" w14:textId="77777777" w:rsidTr="00AF5EAD">
        <w:tc>
          <w:tcPr>
            <w:tcW w:w="851" w:type="dxa"/>
          </w:tcPr>
          <w:p w14:paraId="565F7062" w14:textId="77777777" w:rsidR="00985D4E" w:rsidRPr="00D23B50" w:rsidRDefault="00FF3D65" w:rsidP="00E51981">
            <w:pPr>
              <w:pStyle w:val="NoSpacing"/>
            </w:pPr>
            <w:r>
              <w:t>1.5</w:t>
            </w:r>
          </w:p>
        </w:tc>
        <w:tc>
          <w:tcPr>
            <w:tcW w:w="8505" w:type="dxa"/>
          </w:tcPr>
          <w:p w14:paraId="26674D86" w14:textId="63D3B09C" w:rsidR="00985D4E" w:rsidRDefault="00D23B50" w:rsidP="00D23B50">
            <w:pPr>
              <w:pStyle w:val="NoSpacing"/>
              <w:jc w:val="both"/>
            </w:pPr>
            <w:r>
              <w:t xml:space="preserve">Fuel Poverty can cause vulnerable and low income households to live in cold, unhealthy homes that are expensive to keep warm and push them into debt.  South Ayrshire Council welcomes the </w:t>
            </w:r>
            <w:r w:rsidR="00FF3D65">
              <w:t>increase of</w:t>
            </w:r>
            <w:r w:rsidR="00450027">
              <w:t xml:space="preserve"> Flexible Eligibility</w:t>
            </w:r>
            <w:r>
              <w:t xml:space="preserve"> powers</w:t>
            </w:r>
            <w:r w:rsidR="00FF3D65">
              <w:t xml:space="preserve"> </w:t>
            </w:r>
            <w:r>
              <w:t xml:space="preserve">as a means to help address this issue.  </w:t>
            </w:r>
          </w:p>
          <w:p w14:paraId="6415D310" w14:textId="77777777" w:rsidR="00D23B50" w:rsidRDefault="00D23B50" w:rsidP="00E51981">
            <w:pPr>
              <w:pStyle w:val="NoSpacing"/>
              <w:rPr>
                <w:b/>
              </w:rPr>
            </w:pPr>
          </w:p>
        </w:tc>
      </w:tr>
      <w:tr w:rsidR="00985D4E" w14:paraId="08019DD4" w14:textId="77777777" w:rsidTr="00AF5EAD">
        <w:tc>
          <w:tcPr>
            <w:tcW w:w="851" w:type="dxa"/>
          </w:tcPr>
          <w:p w14:paraId="53189926" w14:textId="77777777" w:rsidR="00985D4E" w:rsidRPr="00FF3D65" w:rsidRDefault="00FF3D65" w:rsidP="00E51981">
            <w:pPr>
              <w:pStyle w:val="NoSpacing"/>
              <w:rPr>
                <w:b/>
              </w:rPr>
            </w:pPr>
            <w:r w:rsidRPr="00FF3D65">
              <w:rPr>
                <w:b/>
              </w:rPr>
              <w:t>2.0</w:t>
            </w:r>
          </w:p>
          <w:p w14:paraId="71B821D7" w14:textId="77777777" w:rsidR="00D23B50" w:rsidRPr="00FF3D65" w:rsidRDefault="00D23B50" w:rsidP="00E51981">
            <w:pPr>
              <w:pStyle w:val="NoSpacing"/>
              <w:rPr>
                <w:b/>
              </w:rPr>
            </w:pPr>
          </w:p>
        </w:tc>
        <w:tc>
          <w:tcPr>
            <w:tcW w:w="8505" w:type="dxa"/>
          </w:tcPr>
          <w:p w14:paraId="3FF7298B" w14:textId="77777777" w:rsidR="00985D4E" w:rsidRPr="00FF3D65" w:rsidRDefault="00FF3D65" w:rsidP="00FF3D65">
            <w:pPr>
              <w:pStyle w:val="NoSpacing"/>
              <w:jc w:val="both"/>
              <w:rPr>
                <w:b/>
              </w:rPr>
            </w:pPr>
            <w:r w:rsidRPr="00FF3D65">
              <w:rPr>
                <w:b/>
              </w:rPr>
              <w:t>South Ayrshire</w:t>
            </w:r>
          </w:p>
        </w:tc>
      </w:tr>
      <w:tr w:rsidR="00985D4E" w14:paraId="119AF992" w14:textId="77777777" w:rsidTr="00AF5EAD">
        <w:tc>
          <w:tcPr>
            <w:tcW w:w="851" w:type="dxa"/>
          </w:tcPr>
          <w:p w14:paraId="411089CF" w14:textId="77777777" w:rsidR="00985D4E" w:rsidRPr="00FF3D65" w:rsidRDefault="00FF3D65" w:rsidP="00E51981">
            <w:pPr>
              <w:pStyle w:val="NoSpacing"/>
            </w:pPr>
            <w:r>
              <w:t>2.1</w:t>
            </w:r>
          </w:p>
        </w:tc>
        <w:tc>
          <w:tcPr>
            <w:tcW w:w="8505" w:type="dxa"/>
          </w:tcPr>
          <w:p w14:paraId="3283A217" w14:textId="77777777" w:rsidR="00FF3D65" w:rsidRDefault="00FF3D65" w:rsidP="00E64D8F">
            <w:pPr>
              <w:pStyle w:val="NoSpacing"/>
              <w:jc w:val="both"/>
              <w:rPr>
                <w:color w:val="000000"/>
              </w:rPr>
            </w:pPr>
            <w:r w:rsidRPr="00932231">
              <w:t>In South Ayrshire</w:t>
            </w:r>
            <w:r>
              <w:t>,</w:t>
            </w:r>
            <w:r w:rsidRPr="00932231">
              <w:t xml:space="preserve"> 35% of households in the district are estimated to be in fuel poverty.  This equates to 18,000 homes: a figure that will only increase as fuel prices rise</w:t>
            </w:r>
            <w:r>
              <w:rPr>
                <w:rStyle w:val="FootnoteReference"/>
              </w:rPr>
              <w:footnoteReference w:id="2"/>
            </w:r>
            <w:r w:rsidRPr="00932231">
              <w:t xml:space="preserve">.  Research has shown that the highest rate of fuel poverty was </w:t>
            </w:r>
            <w:r>
              <w:rPr>
                <w:color w:val="000000"/>
              </w:rPr>
              <w:t>found in the owner occupier sector.  The Council is keen to provide support to some of the most vulnerable homes which are loc</w:t>
            </w:r>
            <w:r w:rsidR="00E64D8F">
              <w:rPr>
                <w:color w:val="000000"/>
              </w:rPr>
              <w:t>ated in the bottom 25% of the Scottish Index of Multiple Deprivation (SIMD).</w:t>
            </w:r>
          </w:p>
          <w:p w14:paraId="7EEE28AA" w14:textId="77777777" w:rsidR="00E64D8F" w:rsidRDefault="00E64D8F" w:rsidP="00E64D8F">
            <w:pPr>
              <w:pStyle w:val="NoSpacing"/>
              <w:jc w:val="both"/>
              <w:rPr>
                <w:b/>
              </w:rPr>
            </w:pPr>
          </w:p>
        </w:tc>
      </w:tr>
      <w:tr w:rsidR="00985D4E" w14:paraId="47939312" w14:textId="77777777" w:rsidTr="00AF5EAD">
        <w:tc>
          <w:tcPr>
            <w:tcW w:w="851" w:type="dxa"/>
          </w:tcPr>
          <w:p w14:paraId="01651A9A" w14:textId="77777777" w:rsidR="00985D4E" w:rsidRPr="00FF3D65" w:rsidRDefault="00FF3D65" w:rsidP="00E51981">
            <w:pPr>
              <w:pStyle w:val="NoSpacing"/>
            </w:pPr>
            <w:r w:rsidRPr="00FF3D65">
              <w:lastRenderedPageBreak/>
              <w:t>2.2</w:t>
            </w:r>
          </w:p>
        </w:tc>
        <w:tc>
          <w:tcPr>
            <w:tcW w:w="8505" w:type="dxa"/>
          </w:tcPr>
          <w:p w14:paraId="1EBA4124" w14:textId="77777777" w:rsidR="00FF3D65" w:rsidRPr="00932231" w:rsidRDefault="00FF3D65" w:rsidP="00E64D8F">
            <w:pPr>
              <w:pStyle w:val="Default"/>
              <w:jc w:val="both"/>
              <w:rPr>
                <w:rFonts w:ascii="Arial" w:eastAsiaTheme="minorHAnsi" w:hAnsi="Arial" w:cs="Arial"/>
                <w:sz w:val="22"/>
                <w:szCs w:val="22"/>
              </w:rPr>
            </w:pPr>
            <w:r w:rsidRPr="00932231">
              <w:rPr>
                <w:sz w:val="22"/>
                <w:szCs w:val="22"/>
              </w:rPr>
              <w:t xml:space="preserve">The SIMD data zone rankings are a key source of data for determining a household’s risk of fuel poverty.  The overall rankings are calculated by assessing seven categories, four of which are linked to fuel poverty: household income, employment levels, health data and geographical access.   </w:t>
            </w:r>
          </w:p>
          <w:p w14:paraId="6A61C896" w14:textId="77777777" w:rsidR="00FF3D65" w:rsidRDefault="00FF3D65" w:rsidP="00E64D8F">
            <w:pPr>
              <w:tabs>
                <w:tab w:val="clear" w:pos="720"/>
                <w:tab w:val="clear" w:pos="1440"/>
                <w:tab w:val="clear" w:pos="2160"/>
                <w:tab w:val="clear" w:pos="2880"/>
                <w:tab w:val="clear" w:pos="9907"/>
              </w:tabs>
              <w:autoSpaceDE w:val="0"/>
              <w:autoSpaceDN w:val="0"/>
              <w:adjustRightInd w:val="0"/>
              <w:jc w:val="both"/>
              <w:rPr>
                <w:rFonts w:asciiTheme="minorHAnsi" w:eastAsiaTheme="minorHAnsi" w:hAnsiTheme="minorHAnsi" w:cs="Arial"/>
                <w:color w:val="000000"/>
                <w:sz w:val="22"/>
                <w:szCs w:val="22"/>
                <w:lang w:eastAsia="en-US"/>
              </w:rPr>
            </w:pPr>
          </w:p>
          <w:p w14:paraId="445904E9" w14:textId="77777777" w:rsidR="00FF3D65" w:rsidRPr="00932231" w:rsidRDefault="00FF3D65" w:rsidP="00E64D8F">
            <w:pPr>
              <w:tabs>
                <w:tab w:val="clear" w:pos="720"/>
                <w:tab w:val="clear" w:pos="1440"/>
                <w:tab w:val="clear" w:pos="2160"/>
                <w:tab w:val="clear" w:pos="2880"/>
                <w:tab w:val="clear" w:pos="9907"/>
              </w:tabs>
              <w:autoSpaceDE w:val="0"/>
              <w:autoSpaceDN w:val="0"/>
              <w:adjustRightInd w:val="0"/>
              <w:jc w:val="both"/>
              <w:rPr>
                <w:rFonts w:asciiTheme="minorHAnsi" w:eastAsiaTheme="minorHAnsi" w:hAnsiTheme="minorHAnsi" w:cs="Arial"/>
                <w:color w:val="000000"/>
                <w:sz w:val="22"/>
                <w:szCs w:val="22"/>
                <w:lang w:eastAsia="en-US"/>
              </w:rPr>
            </w:pPr>
            <w:r w:rsidRPr="00932231">
              <w:rPr>
                <w:rFonts w:asciiTheme="minorHAnsi" w:eastAsiaTheme="minorHAnsi" w:hAnsiTheme="minorHAnsi" w:cs="Arial"/>
                <w:color w:val="000000"/>
                <w:sz w:val="22"/>
                <w:szCs w:val="22"/>
                <w:lang w:eastAsia="en-US"/>
              </w:rPr>
              <w:t>A recent study estimated that fuel poverty in South Ayrshire was most prevalent in</w:t>
            </w:r>
            <w:r>
              <w:rPr>
                <w:rFonts w:asciiTheme="minorHAnsi" w:eastAsiaTheme="minorHAnsi" w:hAnsiTheme="minorHAnsi" w:cs="Arial"/>
                <w:color w:val="000000"/>
                <w:sz w:val="22"/>
                <w:szCs w:val="22"/>
                <w:lang w:eastAsia="en-US"/>
              </w:rPr>
              <w:t>:</w:t>
            </w:r>
            <w:r w:rsidRPr="00932231">
              <w:rPr>
                <w:rFonts w:asciiTheme="minorHAnsi" w:eastAsiaTheme="minorHAnsi" w:hAnsiTheme="minorHAnsi" w:cs="Arial"/>
                <w:color w:val="000000"/>
                <w:sz w:val="22"/>
                <w:szCs w:val="22"/>
                <w:lang w:eastAsia="en-US"/>
              </w:rPr>
              <w:t xml:space="preserve"> </w:t>
            </w:r>
          </w:p>
          <w:p w14:paraId="261E3BB5" w14:textId="77777777" w:rsidR="00FF3D65" w:rsidRPr="00932231" w:rsidRDefault="00FF3D65" w:rsidP="00E64D8F">
            <w:pPr>
              <w:pStyle w:val="ListParagraph"/>
              <w:numPr>
                <w:ilvl w:val="0"/>
                <w:numId w:val="10"/>
              </w:numPr>
              <w:tabs>
                <w:tab w:val="clear" w:pos="720"/>
                <w:tab w:val="clear" w:pos="1440"/>
                <w:tab w:val="clear" w:pos="2160"/>
                <w:tab w:val="clear" w:pos="2880"/>
                <w:tab w:val="clear" w:pos="9907"/>
              </w:tabs>
              <w:autoSpaceDE w:val="0"/>
              <w:autoSpaceDN w:val="0"/>
              <w:adjustRightInd w:val="0"/>
              <w:spacing w:after="160"/>
              <w:jc w:val="both"/>
              <w:rPr>
                <w:rFonts w:asciiTheme="minorHAnsi" w:eastAsiaTheme="minorHAnsi" w:hAnsiTheme="minorHAnsi" w:cs="Arial"/>
                <w:color w:val="000000"/>
                <w:sz w:val="22"/>
                <w:szCs w:val="22"/>
                <w:lang w:eastAsia="en-US"/>
              </w:rPr>
            </w:pPr>
            <w:r w:rsidRPr="00932231">
              <w:rPr>
                <w:rFonts w:asciiTheme="minorHAnsi" w:eastAsiaTheme="minorHAnsi" w:hAnsiTheme="minorHAnsi" w:cs="Arial"/>
                <w:b/>
                <w:bCs/>
                <w:color w:val="000000"/>
                <w:sz w:val="22"/>
                <w:szCs w:val="22"/>
                <w:lang w:eastAsia="en-US"/>
              </w:rPr>
              <w:t xml:space="preserve">Older properties: </w:t>
            </w:r>
            <w:r w:rsidRPr="00932231">
              <w:rPr>
                <w:rFonts w:asciiTheme="minorHAnsi" w:eastAsiaTheme="minorHAnsi" w:hAnsiTheme="minorHAnsi" w:cs="Arial"/>
                <w:color w:val="000000"/>
                <w:sz w:val="22"/>
                <w:szCs w:val="22"/>
                <w:lang w:eastAsia="en-US"/>
              </w:rPr>
              <w:t xml:space="preserve">50% of households in pre-1945 housing were in fuel poverty compared to 29% of those in properties built after 1945; </w:t>
            </w:r>
          </w:p>
          <w:p w14:paraId="70E55928" w14:textId="77777777" w:rsidR="00FF3D65" w:rsidRPr="00932231" w:rsidRDefault="00FF3D65" w:rsidP="00E64D8F">
            <w:pPr>
              <w:pStyle w:val="ListParagraph"/>
              <w:numPr>
                <w:ilvl w:val="0"/>
                <w:numId w:val="10"/>
              </w:numPr>
              <w:tabs>
                <w:tab w:val="clear" w:pos="720"/>
                <w:tab w:val="clear" w:pos="1440"/>
                <w:tab w:val="clear" w:pos="2160"/>
                <w:tab w:val="clear" w:pos="2880"/>
                <w:tab w:val="clear" w:pos="9907"/>
              </w:tabs>
              <w:autoSpaceDE w:val="0"/>
              <w:autoSpaceDN w:val="0"/>
              <w:adjustRightInd w:val="0"/>
              <w:spacing w:after="160"/>
              <w:jc w:val="both"/>
              <w:rPr>
                <w:rFonts w:asciiTheme="minorHAnsi" w:eastAsiaTheme="minorHAnsi" w:hAnsiTheme="minorHAnsi" w:cs="Arial"/>
                <w:color w:val="000000"/>
                <w:sz w:val="22"/>
                <w:szCs w:val="22"/>
                <w:lang w:eastAsia="en-US"/>
              </w:rPr>
            </w:pPr>
            <w:r w:rsidRPr="00932231">
              <w:rPr>
                <w:rFonts w:asciiTheme="minorHAnsi" w:eastAsiaTheme="minorHAnsi" w:hAnsiTheme="minorHAnsi" w:cs="Arial"/>
                <w:b/>
                <w:bCs/>
                <w:color w:val="000000"/>
                <w:sz w:val="22"/>
                <w:szCs w:val="22"/>
                <w:lang w:eastAsia="en-US"/>
              </w:rPr>
              <w:t xml:space="preserve">Flats: </w:t>
            </w:r>
            <w:r w:rsidRPr="00932231">
              <w:rPr>
                <w:rFonts w:asciiTheme="minorHAnsi" w:eastAsiaTheme="minorHAnsi" w:hAnsiTheme="minorHAnsi" w:cs="Arial"/>
                <w:color w:val="000000"/>
                <w:sz w:val="22"/>
                <w:szCs w:val="22"/>
                <w:lang w:eastAsia="en-US"/>
              </w:rPr>
              <w:t xml:space="preserve">Flats were more likely to experience fuel poverty to those in houses (43% compared to 33%); </w:t>
            </w:r>
          </w:p>
          <w:p w14:paraId="299A3B89" w14:textId="77777777" w:rsidR="00FF3D65" w:rsidRPr="00932231" w:rsidRDefault="00FF3D65" w:rsidP="00E64D8F">
            <w:pPr>
              <w:pStyle w:val="ListParagraph"/>
              <w:numPr>
                <w:ilvl w:val="0"/>
                <w:numId w:val="10"/>
              </w:numPr>
              <w:tabs>
                <w:tab w:val="clear" w:pos="720"/>
                <w:tab w:val="clear" w:pos="1440"/>
                <w:tab w:val="clear" w:pos="2160"/>
                <w:tab w:val="clear" w:pos="2880"/>
                <w:tab w:val="clear" w:pos="9907"/>
              </w:tabs>
              <w:autoSpaceDE w:val="0"/>
              <w:autoSpaceDN w:val="0"/>
              <w:adjustRightInd w:val="0"/>
              <w:spacing w:after="160"/>
              <w:jc w:val="both"/>
              <w:rPr>
                <w:rFonts w:asciiTheme="minorHAnsi" w:eastAsiaTheme="minorHAnsi" w:hAnsiTheme="minorHAnsi" w:cs="Arial"/>
                <w:color w:val="000000"/>
                <w:sz w:val="22"/>
                <w:szCs w:val="22"/>
                <w:lang w:eastAsia="en-US"/>
              </w:rPr>
            </w:pPr>
            <w:r w:rsidRPr="00932231">
              <w:rPr>
                <w:rFonts w:asciiTheme="minorHAnsi" w:eastAsiaTheme="minorHAnsi" w:hAnsiTheme="minorHAnsi" w:cs="Arial"/>
                <w:b/>
                <w:bCs/>
                <w:color w:val="000000"/>
                <w:sz w:val="22"/>
                <w:szCs w:val="22"/>
                <w:lang w:eastAsia="en-US"/>
              </w:rPr>
              <w:t xml:space="preserve">Smaller properties: </w:t>
            </w:r>
            <w:r w:rsidRPr="00932231">
              <w:rPr>
                <w:rFonts w:asciiTheme="minorHAnsi" w:eastAsiaTheme="minorHAnsi" w:hAnsiTheme="minorHAnsi" w:cs="Arial"/>
                <w:color w:val="000000"/>
                <w:sz w:val="22"/>
                <w:szCs w:val="22"/>
                <w:lang w:eastAsia="en-US"/>
              </w:rPr>
              <w:t xml:space="preserve">37% of households in 1 or 2 bedrooms were in Fuel Poverty compared to 34% with 3 or more bedrooms. </w:t>
            </w:r>
          </w:p>
          <w:p w14:paraId="1CEAAEBE" w14:textId="77777777" w:rsidR="00FF3D65" w:rsidRPr="00932231" w:rsidRDefault="00FF3D65" w:rsidP="00E64D8F">
            <w:pPr>
              <w:pStyle w:val="ListParagraph"/>
              <w:numPr>
                <w:ilvl w:val="0"/>
                <w:numId w:val="10"/>
              </w:numPr>
              <w:tabs>
                <w:tab w:val="clear" w:pos="720"/>
                <w:tab w:val="clear" w:pos="1440"/>
                <w:tab w:val="clear" w:pos="2160"/>
                <w:tab w:val="clear" w:pos="2880"/>
                <w:tab w:val="clear" w:pos="9907"/>
              </w:tabs>
              <w:autoSpaceDE w:val="0"/>
              <w:autoSpaceDN w:val="0"/>
              <w:adjustRightInd w:val="0"/>
              <w:jc w:val="both"/>
              <w:rPr>
                <w:rFonts w:asciiTheme="minorHAnsi" w:eastAsiaTheme="minorHAnsi" w:hAnsiTheme="minorHAnsi" w:cs="Arial"/>
                <w:color w:val="000000"/>
                <w:sz w:val="22"/>
                <w:szCs w:val="22"/>
                <w:lang w:eastAsia="en-US"/>
              </w:rPr>
            </w:pPr>
            <w:r w:rsidRPr="00932231">
              <w:rPr>
                <w:rFonts w:asciiTheme="minorHAnsi" w:eastAsiaTheme="minorHAnsi" w:hAnsiTheme="minorHAnsi" w:cs="Arial"/>
                <w:b/>
                <w:bCs/>
                <w:color w:val="000000"/>
                <w:sz w:val="22"/>
                <w:szCs w:val="22"/>
                <w:lang w:eastAsia="en-US"/>
              </w:rPr>
              <w:t xml:space="preserve">Owner-occupied houses: </w:t>
            </w:r>
            <w:r w:rsidRPr="00932231">
              <w:rPr>
                <w:rFonts w:asciiTheme="minorHAnsi" w:eastAsiaTheme="minorHAnsi" w:hAnsiTheme="minorHAnsi" w:cs="Arial"/>
                <w:color w:val="000000"/>
                <w:sz w:val="22"/>
                <w:szCs w:val="22"/>
                <w:lang w:eastAsia="en-US"/>
              </w:rPr>
              <w:t xml:space="preserve">35% of owner-occupiers were estimated to be in Fuel Poverty compared to 34% in the social rented sector. </w:t>
            </w:r>
          </w:p>
          <w:p w14:paraId="723E7CCC" w14:textId="77777777" w:rsidR="00FF3D65" w:rsidRPr="00EF276D" w:rsidRDefault="00FF3D65" w:rsidP="00E64D8F">
            <w:pPr>
              <w:pStyle w:val="ListParagraph"/>
              <w:numPr>
                <w:ilvl w:val="0"/>
                <w:numId w:val="10"/>
              </w:numPr>
              <w:tabs>
                <w:tab w:val="clear" w:pos="720"/>
                <w:tab w:val="clear" w:pos="1440"/>
                <w:tab w:val="clear" w:pos="2160"/>
                <w:tab w:val="clear" w:pos="2880"/>
                <w:tab w:val="clear" w:pos="9907"/>
              </w:tabs>
              <w:autoSpaceDE w:val="0"/>
              <w:autoSpaceDN w:val="0"/>
              <w:adjustRightInd w:val="0"/>
              <w:jc w:val="both"/>
              <w:rPr>
                <w:rFonts w:asciiTheme="minorHAnsi" w:eastAsiaTheme="minorHAnsi" w:hAnsiTheme="minorHAnsi" w:cs="Arial"/>
                <w:color w:val="000000"/>
                <w:sz w:val="22"/>
                <w:szCs w:val="22"/>
                <w:lang w:eastAsia="en-US"/>
              </w:rPr>
            </w:pPr>
            <w:r w:rsidRPr="00EF276D">
              <w:rPr>
                <w:rFonts w:asciiTheme="minorHAnsi" w:eastAsiaTheme="minorHAnsi" w:hAnsiTheme="minorHAnsi" w:cs="Arial"/>
                <w:b/>
                <w:bCs/>
                <w:color w:val="000000"/>
                <w:sz w:val="22"/>
                <w:szCs w:val="22"/>
                <w:lang w:eastAsia="en-US"/>
              </w:rPr>
              <w:t xml:space="preserve">More pensioners </w:t>
            </w:r>
            <w:r w:rsidRPr="00EF276D">
              <w:rPr>
                <w:rFonts w:asciiTheme="minorHAnsi" w:eastAsiaTheme="minorHAnsi" w:hAnsiTheme="minorHAnsi" w:cs="Arial"/>
                <w:color w:val="000000"/>
                <w:sz w:val="22"/>
                <w:szCs w:val="22"/>
                <w:lang w:eastAsia="en-US"/>
              </w:rPr>
              <w:t>were estimated to be in Fuel Poverty than families. 44% of pensioners (8,000 households) compared to 23% of families and 36% of adult only households.</w:t>
            </w:r>
          </w:p>
          <w:p w14:paraId="62468CC7" w14:textId="77777777" w:rsidR="00985D4E" w:rsidRDefault="00985D4E" w:rsidP="00E51981">
            <w:pPr>
              <w:pStyle w:val="NoSpacing"/>
              <w:rPr>
                <w:b/>
              </w:rPr>
            </w:pPr>
          </w:p>
        </w:tc>
      </w:tr>
      <w:tr w:rsidR="00985D4E" w14:paraId="20930495" w14:textId="77777777" w:rsidTr="00AF5EAD">
        <w:tc>
          <w:tcPr>
            <w:tcW w:w="851" w:type="dxa"/>
          </w:tcPr>
          <w:p w14:paraId="037DFF25" w14:textId="77777777" w:rsidR="00985D4E" w:rsidRPr="00FF3D65" w:rsidRDefault="00FF3D65" w:rsidP="00E51981">
            <w:pPr>
              <w:pStyle w:val="NoSpacing"/>
            </w:pPr>
            <w:r>
              <w:t>2.3</w:t>
            </w:r>
          </w:p>
        </w:tc>
        <w:tc>
          <w:tcPr>
            <w:tcW w:w="8505" w:type="dxa"/>
          </w:tcPr>
          <w:p w14:paraId="13B1ED9C" w14:textId="77777777" w:rsidR="00FF3D65" w:rsidRDefault="00E64D8F" w:rsidP="00FF3D65">
            <w:pPr>
              <w:pStyle w:val="NoSpacing"/>
              <w:jc w:val="both"/>
              <w:rPr>
                <w:color w:val="000000"/>
              </w:rPr>
            </w:pPr>
            <w:r>
              <w:rPr>
                <w:color w:val="000000"/>
              </w:rPr>
              <w:t xml:space="preserve">LA Flex </w:t>
            </w:r>
            <w:r w:rsidR="00FF3D65">
              <w:rPr>
                <w:color w:val="000000"/>
              </w:rPr>
              <w:t>will contribute towards the aims of the Councils Local Housing Strategy (2017-2022) which commits to ensuring ‘People across South Ayrshire live in well maintained, energy efficient homes and are proud of their homes.  It will help to:</w:t>
            </w:r>
          </w:p>
          <w:p w14:paraId="2BF531DF" w14:textId="77777777" w:rsidR="00FF3D65" w:rsidRDefault="00FF3D65" w:rsidP="00FF3D65">
            <w:pPr>
              <w:pStyle w:val="NoSpacing"/>
              <w:numPr>
                <w:ilvl w:val="0"/>
                <w:numId w:val="2"/>
              </w:numPr>
              <w:jc w:val="both"/>
              <w:rPr>
                <w:color w:val="000000"/>
              </w:rPr>
            </w:pPr>
            <w:r>
              <w:rPr>
                <w:color w:val="000000"/>
              </w:rPr>
              <w:t>Increase the number of energy efficient, safe, healthy and affordable homes to live in</w:t>
            </w:r>
          </w:p>
          <w:p w14:paraId="7886F453" w14:textId="77777777" w:rsidR="00FF3D65" w:rsidRDefault="00FF3D65" w:rsidP="00FF3D65">
            <w:pPr>
              <w:pStyle w:val="NoSpacing"/>
              <w:numPr>
                <w:ilvl w:val="0"/>
                <w:numId w:val="2"/>
              </w:numPr>
              <w:jc w:val="both"/>
              <w:rPr>
                <w:color w:val="000000"/>
              </w:rPr>
            </w:pPr>
            <w:r>
              <w:rPr>
                <w:color w:val="000000"/>
              </w:rPr>
              <w:t>Reduce carbon emissions from the domestic sector</w:t>
            </w:r>
          </w:p>
          <w:p w14:paraId="6C581CD2" w14:textId="77777777" w:rsidR="00FF3D65" w:rsidRDefault="00FF3D65" w:rsidP="00FF3D65">
            <w:pPr>
              <w:pStyle w:val="NoSpacing"/>
              <w:numPr>
                <w:ilvl w:val="0"/>
                <w:numId w:val="2"/>
              </w:numPr>
              <w:jc w:val="both"/>
              <w:rPr>
                <w:color w:val="000000"/>
              </w:rPr>
            </w:pPr>
            <w:r>
              <w:rPr>
                <w:color w:val="000000"/>
              </w:rPr>
              <w:t>Help to strengthen the local economy</w:t>
            </w:r>
          </w:p>
          <w:p w14:paraId="0B568A1F" w14:textId="77777777" w:rsidR="00E64D8F" w:rsidRPr="002E7FD3" w:rsidRDefault="00E64D8F" w:rsidP="00E64D8F">
            <w:pPr>
              <w:pStyle w:val="NoSpacing"/>
              <w:ind w:left="720"/>
              <w:jc w:val="both"/>
              <w:rPr>
                <w:color w:val="000000"/>
              </w:rPr>
            </w:pPr>
          </w:p>
          <w:p w14:paraId="11FD750C" w14:textId="77777777" w:rsidR="00FF3D65" w:rsidRDefault="00FF3D65" w:rsidP="00FF3D65">
            <w:pPr>
              <w:pStyle w:val="NoSpacing"/>
              <w:jc w:val="both"/>
              <w:rPr>
                <w:color w:val="000000"/>
              </w:rPr>
            </w:pPr>
            <w:r>
              <w:rPr>
                <w:color w:val="000000"/>
              </w:rPr>
              <w:t>This Statement of Intent outlines South Ayrshire Council’s approach to maximising ECO funding across the region for fuel poor, vulnerable, low income households.</w:t>
            </w:r>
          </w:p>
          <w:p w14:paraId="43800029" w14:textId="77777777" w:rsidR="00985D4E" w:rsidRDefault="00985D4E" w:rsidP="00E51981">
            <w:pPr>
              <w:pStyle w:val="NoSpacing"/>
              <w:rPr>
                <w:b/>
              </w:rPr>
            </w:pPr>
          </w:p>
        </w:tc>
      </w:tr>
      <w:tr w:rsidR="00AC3E0F" w14:paraId="0673FD2E" w14:textId="77777777" w:rsidTr="00AF5EAD">
        <w:tc>
          <w:tcPr>
            <w:tcW w:w="851" w:type="dxa"/>
          </w:tcPr>
          <w:p w14:paraId="4DDF06DB" w14:textId="519AB9D3" w:rsidR="00AC3E0F" w:rsidRPr="00AC3E0F" w:rsidRDefault="00AC3E0F" w:rsidP="00E51981">
            <w:pPr>
              <w:pStyle w:val="NoSpacing"/>
              <w:rPr>
                <w:b/>
              </w:rPr>
            </w:pPr>
            <w:r w:rsidRPr="00AC3E0F">
              <w:rPr>
                <w:b/>
              </w:rPr>
              <w:t>3.0</w:t>
            </w:r>
          </w:p>
        </w:tc>
        <w:tc>
          <w:tcPr>
            <w:tcW w:w="8505" w:type="dxa"/>
          </w:tcPr>
          <w:p w14:paraId="6CC7323B" w14:textId="65C1B5AC" w:rsidR="00AC3E0F" w:rsidRPr="00AC3E0F" w:rsidRDefault="00AC3E0F" w:rsidP="00FF3D65">
            <w:pPr>
              <w:pStyle w:val="NoSpacing"/>
              <w:jc w:val="both"/>
              <w:rPr>
                <w:b/>
                <w:color w:val="000000"/>
              </w:rPr>
            </w:pPr>
            <w:r w:rsidRPr="00AC3E0F">
              <w:rPr>
                <w:b/>
                <w:color w:val="000000"/>
              </w:rPr>
              <w:t>Flexible Eligibility</w:t>
            </w:r>
            <w:r w:rsidR="00D46DF9">
              <w:rPr>
                <w:b/>
                <w:color w:val="000000"/>
              </w:rPr>
              <w:t xml:space="preserve"> (LA Flex)</w:t>
            </w:r>
          </w:p>
          <w:p w14:paraId="0016D19C" w14:textId="208A17FE" w:rsidR="00AC3E0F" w:rsidRPr="00AC3E0F" w:rsidRDefault="00AC3E0F" w:rsidP="00FF3D65">
            <w:pPr>
              <w:pStyle w:val="NoSpacing"/>
              <w:jc w:val="both"/>
              <w:rPr>
                <w:b/>
                <w:color w:val="000000"/>
              </w:rPr>
            </w:pPr>
          </w:p>
        </w:tc>
      </w:tr>
      <w:tr w:rsidR="00AC3E0F" w14:paraId="55C391A0" w14:textId="77777777" w:rsidTr="00AF5EAD">
        <w:tc>
          <w:tcPr>
            <w:tcW w:w="851" w:type="dxa"/>
          </w:tcPr>
          <w:p w14:paraId="24E83702" w14:textId="73068A51" w:rsidR="00AC3E0F" w:rsidRDefault="00AC3E0F" w:rsidP="00E51981">
            <w:pPr>
              <w:pStyle w:val="NoSpacing"/>
            </w:pPr>
            <w:r>
              <w:t>3.1</w:t>
            </w:r>
          </w:p>
        </w:tc>
        <w:tc>
          <w:tcPr>
            <w:tcW w:w="8505" w:type="dxa"/>
          </w:tcPr>
          <w:p w14:paraId="456C469E" w14:textId="57308D2C" w:rsidR="00AC3E0F" w:rsidRDefault="00D46DF9" w:rsidP="00FF3D65">
            <w:pPr>
              <w:pStyle w:val="NoSpacing"/>
              <w:jc w:val="both"/>
              <w:rPr>
                <w:bCs/>
              </w:rPr>
            </w:pPr>
            <w:r>
              <w:rPr>
                <w:bCs/>
              </w:rPr>
              <w:t xml:space="preserve">Flexible Eligibility </w:t>
            </w:r>
            <w:r w:rsidR="00AC3E0F">
              <w:rPr>
                <w:bCs/>
              </w:rPr>
              <w:t>funding is available to private sector households, including owner occupiers and pr</w:t>
            </w:r>
            <w:r w:rsidR="00D55C90">
              <w:rPr>
                <w:bCs/>
              </w:rPr>
              <w:t>ivate tenants, in line with OfGEM guidance.</w:t>
            </w:r>
            <w:r w:rsidR="00D55C90">
              <w:rPr>
                <w:rStyle w:val="FootnoteReference"/>
                <w:bCs/>
              </w:rPr>
              <w:footnoteReference w:id="3"/>
            </w:r>
          </w:p>
          <w:p w14:paraId="7B931CC4" w14:textId="5CF5312C" w:rsidR="00AC3E0F" w:rsidRDefault="00AC3E0F" w:rsidP="00FF3D65">
            <w:pPr>
              <w:pStyle w:val="NoSpacing"/>
              <w:jc w:val="both"/>
              <w:rPr>
                <w:color w:val="000000"/>
              </w:rPr>
            </w:pPr>
          </w:p>
        </w:tc>
      </w:tr>
      <w:tr w:rsidR="00AC3E0F" w14:paraId="5A41C279" w14:textId="77777777" w:rsidTr="00AF5EAD">
        <w:tc>
          <w:tcPr>
            <w:tcW w:w="851" w:type="dxa"/>
          </w:tcPr>
          <w:p w14:paraId="3638AA19" w14:textId="77777777" w:rsidR="00AC3E0F" w:rsidRDefault="00AC3E0F" w:rsidP="00E51981">
            <w:pPr>
              <w:pStyle w:val="NoSpacing"/>
            </w:pPr>
            <w:r>
              <w:t>3.2</w:t>
            </w:r>
          </w:p>
          <w:p w14:paraId="4248A4F4" w14:textId="2612B1B8" w:rsidR="00AC3E0F" w:rsidRDefault="00AC3E0F" w:rsidP="00E51981">
            <w:pPr>
              <w:pStyle w:val="NoSpacing"/>
            </w:pPr>
          </w:p>
        </w:tc>
        <w:tc>
          <w:tcPr>
            <w:tcW w:w="8505" w:type="dxa"/>
          </w:tcPr>
          <w:p w14:paraId="794A3A35" w14:textId="51EAE95E" w:rsidR="00AC3E0F" w:rsidRDefault="00AC3E0F" w:rsidP="00FF3D65">
            <w:pPr>
              <w:pStyle w:val="NoSpacing"/>
              <w:jc w:val="both"/>
              <w:rPr>
                <w:bCs/>
              </w:rPr>
            </w:pPr>
            <w:r>
              <w:rPr>
                <w:color w:val="000000"/>
              </w:rPr>
              <w:t xml:space="preserve">South Ayrshire Council will utilise Flexible Eligibility to assist with current and future </w:t>
            </w:r>
            <w:r w:rsidR="0063412C">
              <w:rPr>
                <w:color w:val="000000"/>
              </w:rPr>
              <w:t>EES</w:t>
            </w:r>
            <w:r>
              <w:rPr>
                <w:color w:val="000000"/>
              </w:rPr>
              <w:t xml:space="preserve">: ABS programmes which aim to reduce fuel poverty in our communities.  ECO funding will be maximised to compliment Scottish Government funding and assist the delivery of mixed tenure Solid Wall Insulation programmes in fuel poor areas, improving the energy efficiency of ‘hard to treat’ domestic dwellings. </w:t>
            </w:r>
            <w:r w:rsidRPr="00D04CAF">
              <w:rPr>
                <w:bCs/>
              </w:rPr>
              <w:t>The insulation systems reduce heat demand, lower carbon emissions and re</w:t>
            </w:r>
            <w:r>
              <w:rPr>
                <w:bCs/>
              </w:rPr>
              <w:t>generate areas of deprivation.</w:t>
            </w:r>
          </w:p>
          <w:p w14:paraId="46E4AF03" w14:textId="4E1AE4A6" w:rsidR="0063412C" w:rsidRDefault="0063412C" w:rsidP="00FF3D65">
            <w:pPr>
              <w:pStyle w:val="NoSpacing"/>
              <w:jc w:val="both"/>
              <w:rPr>
                <w:bCs/>
              </w:rPr>
            </w:pPr>
          </w:p>
          <w:p w14:paraId="78C296FB" w14:textId="260210C0" w:rsidR="0063412C" w:rsidRPr="002A2D73" w:rsidRDefault="0063412C" w:rsidP="00FF3D65">
            <w:pPr>
              <w:pStyle w:val="NoSpacing"/>
              <w:jc w:val="both"/>
              <w:rPr>
                <w:bCs/>
                <w:color w:val="000000" w:themeColor="text1"/>
              </w:rPr>
            </w:pPr>
            <w:r w:rsidRPr="002A2D73">
              <w:rPr>
                <w:bCs/>
                <w:color w:val="000000" w:themeColor="text1"/>
              </w:rPr>
              <w:t>In addition, Flexible Eligibility will be used to draw down funding for additional measures across EES: AB</w:t>
            </w:r>
            <w:r w:rsidR="0065240C" w:rsidRPr="002A2D73">
              <w:rPr>
                <w:bCs/>
                <w:color w:val="000000" w:themeColor="text1"/>
              </w:rPr>
              <w:t>S projects as identified by a dwe</w:t>
            </w:r>
            <w:r w:rsidRPr="002A2D73">
              <w:rPr>
                <w:bCs/>
                <w:color w:val="000000" w:themeColor="text1"/>
              </w:rPr>
              <w:t>lling’s Energy Performance Certificate (EPC).</w:t>
            </w:r>
          </w:p>
          <w:p w14:paraId="77ED00B9" w14:textId="0918037B" w:rsidR="00AC3E0F" w:rsidRDefault="00AC3E0F" w:rsidP="00FF3D65">
            <w:pPr>
              <w:pStyle w:val="NoSpacing"/>
              <w:jc w:val="both"/>
              <w:rPr>
                <w:color w:val="000000"/>
              </w:rPr>
            </w:pPr>
          </w:p>
        </w:tc>
      </w:tr>
      <w:tr w:rsidR="00AC3E0F" w14:paraId="3EECCB30" w14:textId="77777777" w:rsidTr="00AF5EAD">
        <w:tc>
          <w:tcPr>
            <w:tcW w:w="851" w:type="dxa"/>
          </w:tcPr>
          <w:p w14:paraId="27CE932B" w14:textId="103578CF" w:rsidR="00AC3E0F" w:rsidRDefault="00AC3E0F" w:rsidP="00E51981">
            <w:pPr>
              <w:pStyle w:val="NoSpacing"/>
            </w:pPr>
            <w:r>
              <w:t>3.3</w:t>
            </w:r>
          </w:p>
        </w:tc>
        <w:tc>
          <w:tcPr>
            <w:tcW w:w="8505" w:type="dxa"/>
          </w:tcPr>
          <w:p w14:paraId="6BF36F69" w14:textId="3F7FC909" w:rsidR="00AC3E0F" w:rsidRDefault="00AC3E0F" w:rsidP="00FF3D65">
            <w:pPr>
              <w:pStyle w:val="NoSpacing"/>
              <w:jc w:val="both"/>
              <w:rPr>
                <w:bCs/>
              </w:rPr>
            </w:pPr>
            <w:r>
              <w:rPr>
                <w:color w:val="000000"/>
              </w:rPr>
              <w:t xml:space="preserve">Targeted households within </w:t>
            </w:r>
            <w:r w:rsidR="0063412C">
              <w:rPr>
                <w:color w:val="000000"/>
              </w:rPr>
              <w:t>EES</w:t>
            </w:r>
            <w:r>
              <w:rPr>
                <w:color w:val="000000"/>
              </w:rPr>
              <w:t xml:space="preserve">: ABS projects will be eligible </w:t>
            </w:r>
            <w:r w:rsidR="0063412C">
              <w:rPr>
                <w:color w:val="000000"/>
              </w:rPr>
              <w:t xml:space="preserve">to be assessed </w:t>
            </w:r>
            <w:r>
              <w:rPr>
                <w:color w:val="000000"/>
              </w:rPr>
              <w:t xml:space="preserve">for Flexible Eligibility.  </w:t>
            </w:r>
            <w:r>
              <w:rPr>
                <w:bCs/>
              </w:rPr>
              <w:t xml:space="preserve">One of the </w:t>
            </w:r>
            <w:r w:rsidR="00C60224">
              <w:rPr>
                <w:bCs/>
              </w:rPr>
              <w:t>criteria</w:t>
            </w:r>
            <w:r>
              <w:rPr>
                <w:bCs/>
              </w:rPr>
              <w:t xml:space="preserve"> for determining project areas for </w:t>
            </w:r>
            <w:r w:rsidR="0063412C">
              <w:rPr>
                <w:bCs/>
              </w:rPr>
              <w:t>EES</w:t>
            </w:r>
            <w:r>
              <w:rPr>
                <w:bCs/>
              </w:rPr>
              <w:t>: ABS is that the project is located within the most deprived areas according to the Scottish Index of Multiple Deprivation (SIMD)</w:t>
            </w:r>
            <w:r w:rsidR="00C60224">
              <w:rPr>
                <w:bCs/>
              </w:rPr>
              <w:t xml:space="preserve">. </w:t>
            </w:r>
            <w:r w:rsidR="0063412C">
              <w:rPr>
                <w:bCs/>
              </w:rPr>
              <w:t xml:space="preserve"> EES:</w:t>
            </w:r>
            <w:r w:rsidR="00C60224">
              <w:rPr>
                <w:bCs/>
              </w:rPr>
              <w:t xml:space="preserve"> ABS primarily </w:t>
            </w:r>
            <w:r>
              <w:rPr>
                <w:bCs/>
              </w:rPr>
              <w:t>targets households located within the bottom 25% of SIMD</w:t>
            </w:r>
            <w:r w:rsidR="00C60224">
              <w:rPr>
                <w:bCs/>
              </w:rPr>
              <w:t>.</w:t>
            </w:r>
            <w:r>
              <w:rPr>
                <w:bCs/>
              </w:rPr>
              <w:t xml:space="preserve"> </w:t>
            </w:r>
          </w:p>
          <w:p w14:paraId="3AF0B216" w14:textId="6182A4A6" w:rsidR="00AC3E0F" w:rsidRDefault="00AC3E0F" w:rsidP="00FF3D65">
            <w:pPr>
              <w:pStyle w:val="NoSpacing"/>
              <w:jc w:val="both"/>
              <w:rPr>
                <w:color w:val="000000"/>
              </w:rPr>
            </w:pPr>
          </w:p>
        </w:tc>
      </w:tr>
      <w:tr w:rsidR="00AC3E0F" w14:paraId="563A94FF" w14:textId="77777777" w:rsidTr="00AF5EAD">
        <w:tc>
          <w:tcPr>
            <w:tcW w:w="851" w:type="dxa"/>
          </w:tcPr>
          <w:p w14:paraId="0F3F4631" w14:textId="014EC8C7" w:rsidR="00AC3E0F" w:rsidRDefault="00AC3E0F" w:rsidP="00E51981">
            <w:pPr>
              <w:pStyle w:val="NoSpacing"/>
            </w:pPr>
            <w:r>
              <w:lastRenderedPageBreak/>
              <w:t>3.4</w:t>
            </w:r>
          </w:p>
        </w:tc>
        <w:tc>
          <w:tcPr>
            <w:tcW w:w="8505" w:type="dxa"/>
          </w:tcPr>
          <w:p w14:paraId="058FC998" w14:textId="79A2D48E" w:rsidR="00AC3E0F" w:rsidRDefault="00AC3E0F" w:rsidP="00FF3D65">
            <w:pPr>
              <w:pStyle w:val="NoSpacing"/>
              <w:jc w:val="both"/>
              <w:rPr>
                <w:bCs/>
              </w:rPr>
            </w:pPr>
            <w:r>
              <w:rPr>
                <w:bCs/>
              </w:rPr>
              <w:t xml:space="preserve">South Ayrshire </w:t>
            </w:r>
            <w:r w:rsidR="00C60224">
              <w:rPr>
                <w:bCs/>
              </w:rPr>
              <w:t xml:space="preserve">Council </w:t>
            </w:r>
            <w:r>
              <w:rPr>
                <w:bCs/>
              </w:rPr>
              <w:t xml:space="preserve">will continue to focus on targeting households in the lowest SIMD data zones in the region.  </w:t>
            </w:r>
          </w:p>
          <w:p w14:paraId="097485B8" w14:textId="035F997C" w:rsidR="00AC3E0F" w:rsidRDefault="00AC3E0F" w:rsidP="00FF3D65">
            <w:pPr>
              <w:pStyle w:val="NoSpacing"/>
              <w:jc w:val="both"/>
              <w:rPr>
                <w:color w:val="000000"/>
              </w:rPr>
            </w:pPr>
          </w:p>
        </w:tc>
      </w:tr>
      <w:tr w:rsidR="00AC3E0F" w14:paraId="75E289EA" w14:textId="77777777" w:rsidTr="00AF5EAD">
        <w:tc>
          <w:tcPr>
            <w:tcW w:w="851" w:type="dxa"/>
          </w:tcPr>
          <w:p w14:paraId="2072DA79" w14:textId="4FBA9AB9" w:rsidR="00AC3E0F" w:rsidRDefault="00AC3E0F" w:rsidP="00E51981">
            <w:pPr>
              <w:pStyle w:val="NoSpacing"/>
            </w:pPr>
            <w:r>
              <w:t>3.5</w:t>
            </w:r>
          </w:p>
        </w:tc>
        <w:tc>
          <w:tcPr>
            <w:tcW w:w="8505" w:type="dxa"/>
          </w:tcPr>
          <w:p w14:paraId="19373174" w14:textId="35199C53" w:rsidR="00AC3E0F" w:rsidRDefault="00AC3E0F" w:rsidP="00FF3D65">
            <w:pPr>
              <w:pStyle w:val="NoSpacing"/>
              <w:jc w:val="both"/>
              <w:rPr>
                <w:bCs/>
              </w:rPr>
            </w:pPr>
            <w:r>
              <w:rPr>
                <w:bCs/>
              </w:rPr>
              <w:t xml:space="preserve">The Energy Agency, a local charity, is employed by South Ayrshire Council to deliver the </w:t>
            </w:r>
            <w:r w:rsidR="0063412C">
              <w:rPr>
                <w:bCs/>
              </w:rPr>
              <w:t>EES</w:t>
            </w:r>
            <w:r>
              <w:rPr>
                <w:bCs/>
              </w:rPr>
              <w:t xml:space="preserve">:ABS programme.  </w:t>
            </w:r>
            <w:r w:rsidR="00C60224">
              <w:rPr>
                <w:bCs/>
              </w:rPr>
              <w:t>It</w:t>
            </w:r>
            <w:r>
              <w:rPr>
                <w:bCs/>
              </w:rPr>
              <w:t xml:space="preserve"> will be responsible for promoting the scheme to vulnerable householders in the region and collecting household data on behalf of South Ayrshire Council to determine Flexible Eligibility.</w:t>
            </w:r>
          </w:p>
          <w:p w14:paraId="713413A5" w14:textId="755356D5" w:rsidR="00AC3E0F" w:rsidRDefault="00AC3E0F" w:rsidP="00FF3D65">
            <w:pPr>
              <w:pStyle w:val="NoSpacing"/>
              <w:jc w:val="both"/>
              <w:rPr>
                <w:color w:val="000000"/>
              </w:rPr>
            </w:pPr>
          </w:p>
        </w:tc>
      </w:tr>
      <w:tr w:rsidR="00AC3E0F" w14:paraId="2EDE743A" w14:textId="77777777" w:rsidTr="00AF5EAD">
        <w:tc>
          <w:tcPr>
            <w:tcW w:w="851" w:type="dxa"/>
          </w:tcPr>
          <w:p w14:paraId="0ED1C248" w14:textId="562EE077" w:rsidR="00AC3E0F" w:rsidRDefault="00AC3E0F" w:rsidP="00E51981">
            <w:pPr>
              <w:pStyle w:val="NoSpacing"/>
            </w:pPr>
            <w:r>
              <w:t>3.6</w:t>
            </w:r>
          </w:p>
        </w:tc>
        <w:tc>
          <w:tcPr>
            <w:tcW w:w="8505" w:type="dxa"/>
          </w:tcPr>
          <w:p w14:paraId="4C83986B" w14:textId="5EF88286" w:rsidR="00AC3E0F" w:rsidRDefault="00AC3E0F" w:rsidP="00FF3D65">
            <w:pPr>
              <w:pStyle w:val="NoSpacing"/>
              <w:jc w:val="both"/>
              <w:rPr>
                <w:bCs/>
              </w:rPr>
            </w:pPr>
            <w:r>
              <w:rPr>
                <w:bCs/>
              </w:rPr>
              <w:t>Households will be targeted by the Energy Agency during the sign up process for solid wall insulation programmes.</w:t>
            </w:r>
            <w:r w:rsidDel="002E36EB">
              <w:rPr>
                <w:bCs/>
              </w:rPr>
              <w:t xml:space="preserve"> </w:t>
            </w:r>
            <w:r w:rsidR="00C60224">
              <w:rPr>
                <w:bCs/>
              </w:rPr>
              <w:t>It</w:t>
            </w:r>
            <w:r w:rsidRPr="002E36EB">
              <w:rPr>
                <w:bCs/>
              </w:rPr>
              <w:t xml:space="preserve"> will also check that the householder is happy for their data to be shared with Scheme Partners.</w:t>
            </w:r>
          </w:p>
          <w:p w14:paraId="201709C4" w14:textId="5EBB24E7" w:rsidR="00AC3E0F" w:rsidRDefault="00AC3E0F" w:rsidP="00FF3D65">
            <w:pPr>
              <w:pStyle w:val="NoSpacing"/>
              <w:jc w:val="both"/>
              <w:rPr>
                <w:color w:val="000000"/>
              </w:rPr>
            </w:pPr>
          </w:p>
        </w:tc>
      </w:tr>
      <w:tr w:rsidR="00F00BC2" w14:paraId="0CD9CD39" w14:textId="77777777" w:rsidTr="00AF5EAD">
        <w:tc>
          <w:tcPr>
            <w:tcW w:w="851" w:type="dxa"/>
          </w:tcPr>
          <w:p w14:paraId="1A1FA991" w14:textId="2924F0DF" w:rsidR="00F00BC2" w:rsidRPr="00C60224" w:rsidRDefault="00F00BC2" w:rsidP="00E51981">
            <w:pPr>
              <w:pStyle w:val="NoSpacing"/>
              <w:rPr>
                <w:b/>
              </w:rPr>
            </w:pPr>
            <w:r>
              <w:rPr>
                <w:b/>
              </w:rPr>
              <w:t>4.0</w:t>
            </w:r>
          </w:p>
        </w:tc>
        <w:tc>
          <w:tcPr>
            <w:tcW w:w="8505" w:type="dxa"/>
          </w:tcPr>
          <w:p w14:paraId="04870B69" w14:textId="207EB970" w:rsidR="00F00BC2" w:rsidRDefault="00F00BC2" w:rsidP="00C20493">
            <w:pPr>
              <w:pStyle w:val="NoSpacing"/>
              <w:jc w:val="both"/>
              <w:rPr>
                <w:b/>
                <w:bCs/>
              </w:rPr>
            </w:pPr>
            <w:r>
              <w:rPr>
                <w:b/>
                <w:bCs/>
              </w:rPr>
              <w:t>Eligibility Categories</w:t>
            </w:r>
          </w:p>
          <w:p w14:paraId="4BB8D540" w14:textId="1D05D9F3" w:rsidR="00F00BC2" w:rsidRPr="00ED5B9D" w:rsidRDefault="00F00BC2" w:rsidP="00C20493">
            <w:pPr>
              <w:pStyle w:val="NoSpacing"/>
              <w:jc w:val="both"/>
              <w:rPr>
                <w:b/>
                <w:bCs/>
              </w:rPr>
            </w:pPr>
          </w:p>
        </w:tc>
      </w:tr>
      <w:tr w:rsidR="00F00BC2" w14:paraId="1E93C1D0" w14:textId="77777777" w:rsidTr="00AF5EAD">
        <w:tc>
          <w:tcPr>
            <w:tcW w:w="851" w:type="dxa"/>
          </w:tcPr>
          <w:p w14:paraId="6A98BE7A" w14:textId="77777777" w:rsidR="00F00BC2" w:rsidRDefault="00F00BC2" w:rsidP="00E51981">
            <w:pPr>
              <w:pStyle w:val="NoSpacing"/>
            </w:pPr>
            <w:r>
              <w:t>4.1</w:t>
            </w:r>
          </w:p>
          <w:p w14:paraId="52475D84" w14:textId="77777777" w:rsidR="00CE1EE3" w:rsidRDefault="00CE1EE3" w:rsidP="00E51981">
            <w:pPr>
              <w:pStyle w:val="NoSpacing"/>
            </w:pPr>
          </w:p>
          <w:p w14:paraId="7A5AADDA" w14:textId="6F49775B" w:rsidR="00CE1EE3" w:rsidRDefault="00CE1EE3" w:rsidP="00E51981">
            <w:pPr>
              <w:pStyle w:val="NoSpacing"/>
            </w:pPr>
          </w:p>
          <w:p w14:paraId="7074CE60" w14:textId="77777777" w:rsidR="00CE1EE3" w:rsidRDefault="00CE1EE3" w:rsidP="00E51981">
            <w:pPr>
              <w:pStyle w:val="NoSpacing"/>
            </w:pPr>
          </w:p>
          <w:p w14:paraId="1A232CE3" w14:textId="77777777" w:rsidR="00CE1EE3" w:rsidRDefault="00CE1EE3" w:rsidP="00E51981">
            <w:pPr>
              <w:pStyle w:val="NoSpacing"/>
            </w:pPr>
            <w:r>
              <w:t>4.2</w:t>
            </w:r>
          </w:p>
          <w:p w14:paraId="3C58AB9E" w14:textId="77777777" w:rsidR="00CE1EE3" w:rsidRDefault="00CE1EE3" w:rsidP="00E51981">
            <w:pPr>
              <w:pStyle w:val="NoSpacing"/>
            </w:pPr>
          </w:p>
          <w:p w14:paraId="514AB7EF" w14:textId="3E97145F" w:rsidR="00CE1EE3" w:rsidRDefault="00CE1EE3" w:rsidP="00E51981">
            <w:pPr>
              <w:pStyle w:val="NoSpacing"/>
            </w:pPr>
          </w:p>
          <w:p w14:paraId="44F54B37" w14:textId="77777777" w:rsidR="00CE1EE3" w:rsidRDefault="00CE1EE3" w:rsidP="00E51981">
            <w:pPr>
              <w:pStyle w:val="NoSpacing"/>
            </w:pPr>
          </w:p>
          <w:p w14:paraId="7FF8AAD5" w14:textId="77777777" w:rsidR="00CE1EE3" w:rsidRDefault="00CE1EE3" w:rsidP="00E51981">
            <w:pPr>
              <w:pStyle w:val="NoSpacing"/>
            </w:pPr>
            <w:r>
              <w:t>4.3</w:t>
            </w:r>
          </w:p>
          <w:p w14:paraId="08D438F3" w14:textId="77777777" w:rsidR="00CE1EE3" w:rsidRDefault="00CE1EE3" w:rsidP="00E51981">
            <w:pPr>
              <w:pStyle w:val="NoSpacing"/>
            </w:pPr>
          </w:p>
          <w:p w14:paraId="6C61F18D" w14:textId="77777777" w:rsidR="00E778A9" w:rsidRDefault="00E778A9" w:rsidP="00E51981">
            <w:pPr>
              <w:pStyle w:val="NoSpacing"/>
            </w:pPr>
          </w:p>
          <w:p w14:paraId="3C81B143" w14:textId="77777777" w:rsidR="00E778A9" w:rsidRDefault="00E778A9" w:rsidP="00E51981">
            <w:pPr>
              <w:pStyle w:val="NoSpacing"/>
            </w:pPr>
          </w:p>
          <w:p w14:paraId="1725EF15" w14:textId="047CA2E4" w:rsidR="00CE1EE3" w:rsidRDefault="00CE1EE3" w:rsidP="00E51981">
            <w:pPr>
              <w:pStyle w:val="NoSpacing"/>
            </w:pPr>
            <w:r>
              <w:t>4.4</w:t>
            </w:r>
          </w:p>
          <w:p w14:paraId="4980B6C4" w14:textId="013E5CA0" w:rsidR="00CE1EE3" w:rsidRDefault="00CE1EE3" w:rsidP="00E51981">
            <w:pPr>
              <w:pStyle w:val="NoSpacing"/>
            </w:pPr>
          </w:p>
          <w:p w14:paraId="5074298F" w14:textId="136B3F13" w:rsidR="00DA55D5" w:rsidRDefault="00DA55D5" w:rsidP="00E51981">
            <w:pPr>
              <w:pStyle w:val="NoSpacing"/>
            </w:pPr>
          </w:p>
          <w:p w14:paraId="145F7EF7" w14:textId="2E969303" w:rsidR="00DA55D5" w:rsidRDefault="00DA55D5" w:rsidP="00E51981">
            <w:pPr>
              <w:pStyle w:val="NoSpacing"/>
            </w:pPr>
          </w:p>
          <w:p w14:paraId="6192A64A" w14:textId="52025AAB" w:rsidR="00DA55D5" w:rsidRDefault="00DA55D5" w:rsidP="00E51981">
            <w:pPr>
              <w:pStyle w:val="NoSpacing"/>
            </w:pPr>
          </w:p>
          <w:p w14:paraId="3F5D40A4" w14:textId="7785AA58" w:rsidR="00DA55D5" w:rsidRDefault="00DA55D5" w:rsidP="00E51981">
            <w:pPr>
              <w:pStyle w:val="NoSpacing"/>
            </w:pPr>
          </w:p>
          <w:p w14:paraId="335D8A21" w14:textId="77777777" w:rsidR="00CE1EE3" w:rsidRDefault="00CE1EE3" w:rsidP="00E51981">
            <w:pPr>
              <w:pStyle w:val="NoSpacing"/>
            </w:pPr>
            <w:r>
              <w:t>4.5</w:t>
            </w:r>
          </w:p>
          <w:p w14:paraId="356AFAAE" w14:textId="74EAD5C3" w:rsidR="00CE1EE3" w:rsidRDefault="00CE1EE3" w:rsidP="00E51981">
            <w:pPr>
              <w:pStyle w:val="NoSpacing"/>
            </w:pPr>
          </w:p>
          <w:p w14:paraId="3227996E" w14:textId="77777777" w:rsidR="00A60307" w:rsidRDefault="00A60307" w:rsidP="00E51981">
            <w:pPr>
              <w:pStyle w:val="NoSpacing"/>
            </w:pPr>
          </w:p>
          <w:p w14:paraId="342A69E7" w14:textId="235C70CF" w:rsidR="00A60307" w:rsidRPr="00F00BC2" w:rsidRDefault="00A60307" w:rsidP="00E51981">
            <w:pPr>
              <w:pStyle w:val="NoSpacing"/>
            </w:pPr>
          </w:p>
        </w:tc>
        <w:tc>
          <w:tcPr>
            <w:tcW w:w="8505" w:type="dxa"/>
          </w:tcPr>
          <w:p w14:paraId="13E1632E" w14:textId="522927D6" w:rsidR="00F00BC2" w:rsidRPr="00450027" w:rsidRDefault="00CE1EE3" w:rsidP="00C20493">
            <w:pPr>
              <w:pStyle w:val="NoSpacing"/>
              <w:jc w:val="both"/>
              <w:rPr>
                <w:bCs/>
                <w:u w:val="single"/>
              </w:rPr>
            </w:pPr>
            <w:r w:rsidRPr="00450027">
              <w:rPr>
                <w:bCs/>
                <w:u w:val="single"/>
              </w:rPr>
              <w:t>Fuel Poor (FP)</w:t>
            </w:r>
          </w:p>
          <w:p w14:paraId="0E737CB4" w14:textId="36CE0C87" w:rsidR="00CE1EE3" w:rsidRPr="00CE1EE3" w:rsidRDefault="00CE1EE3" w:rsidP="00C20493">
            <w:pPr>
              <w:pStyle w:val="NoSpacing"/>
              <w:jc w:val="both"/>
              <w:rPr>
                <w:bCs/>
              </w:rPr>
            </w:pPr>
            <w:r w:rsidRPr="00CE1EE3">
              <w:rPr>
                <w:bCs/>
              </w:rPr>
              <w:t xml:space="preserve">Households combining </w:t>
            </w:r>
            <w:r w:rsidRPr="00CE1EE3">
              <w:rPr>
                <w:b/>
                <w:bCs/>
                <w:u w:val="single"/>
              </w:rPr>
              <w:t>low income</w:t>
            </w:r>
            <w:r w:rsidRPr="00CE1EE3">
              <w:rPr>
                <w:bCs/>
              </w:rPr>
              <w:t xml:space="preserve"> and </w:t>
            </w:r>
            <w:r w:rsidRPr="00CE1EE3">
              <w:rPr>
                <w:b/>
                <w:bCs/>
                <w:u w:val="single"/>
              </w:rPr>
              <w:t>high heating costs</w:t>
            </w:r>
            <w:r w:rsidRPr="00CE1EE3">
              <w:rPr>
                <w:bCs/>
              </w:rPr>
              <w:t xml:space="preserve"> will be eligible for this category</w:t>
            </w:r>
            <w:r>
              <w:rPr>
                <w:bCs/>
              </w:rPr>
              <w:t>.</w:t>
            </w:r>
          </w:p>
          <w:p w14:paraId="0332E2CD" w14:textId="7315E1C5" w:rsidR="00CE1EE3" w:rsidRDefault="00CE1EE3" w:rsidP="00C20493">
            <w:pPr>
              <w:pStyle w:val="NoSpacing"/>
              <w:jc w:val="both"/>
              <w:rPr>
                <w:bCs/>
              </w:rPr>
            </w:pPr>
            <w:r>
              <w:rPr>
                <w:bCs/>
              </w:rPr>
              <w:t>Eligible households will meet the criteri</w:t>
            </w:r>
            <w:r w:rsidR="00450027">
              <w:rPr>
                <w:bCs/>
              </w:rPr>
              <w:t>a set out in Clause 5</w:t>
            </w:r>
            <w:r>
              <w:rPr>
                <w:bCs/>
              </w:rPr>
              <w:t xml:space="preserve">.0 and </w:t>
            </w:r>
            <w:r w:rsidR="00450027">
              <w:rPr>
                <w:bCs/>
              </w:rPr>
              <w:t>6</w:t>
            </w:r>
            <w:r>
              <w:rPr>
                <w:bCs/>
              </w:rPr>
              <w:t>.0.</w:t>
            </w:r>
          </w:p>
          <w:p w14:paraId="5D03A122" w14:textId="77777777" w:rsidR="00CE1EE3" w:rsidRPr="00CE1EE3" w:rsidRDefault="00CE1EE3" w:rsidP="00C20493">
            <w:pPr>
              <w:pStyle w:val="NoSpacing"/>
              <w:jc w:val="both"/>
              <w:rPr>
                <w:bCs/>
              </w:rPr>
            </w:pPr>
          </w:p>
          <w:p w14:paraId="200511AB" w14:textId="19C363C6" w:rsidR="00CE1EE3" w:rsidRPr="00450027" w:rsidRDefault="00CE1EE3" w:rsidP="00C20493">
            <w:pPr>
              <w:pStyle w:val="NoSpacing"/>
              <w:jc w:val="both"/>
              <w:rPr>
                <w:bCs/>
                <w:u w:val="single"/>
              </w:rPr>
            </w:pPr>
            <w:r w:rsidRPr="00450027">
              <w:rPr>
                <w:bCs/>
                <w:u w:val="single"/>
              </w:rPr>
              <w:t>Low Income and Vulnerable to the Cold (LIVC)</w:t>
            </w:r>
          </w:p>
          <w:p w14:paraId="3A5EB59B" w14:textId="5194A5D2" w:rsidR="00CE1EE3" w:rsidRDefault="00CE1EE3" w:rsidP="00CE1EE3">
            <w:pPr>
              <w:pStyle w:val="NoSpacing"/>
              <w:jc w:val="both"/>
              <w:rPr>
                <w:bCs/>
              </w:rPr>
            </w:pPr>
            <w:r w:rsidRPr="00CE1EE3">
              <w:rPr>
                <w:bCs/>
              </w:rPr>
              <w:t xml:space="preserve">Households </w:t>
            </w:r>
            <w:r>
              <w:rPr>
                <w:bCs/>
              </w:rPr>
              <w:t>with</w:t>
            </w:r>
            <w:r w:rsidR="00450027">
              <w:rPr>
                <w:bCs/>
              </w:rPr>
              <w:t xml:space="preserve"> a </w:t>
            </w:r>
            <w:r w:rsidRPr="00CE1EE3">
              <w:rPr>
                <w:b/>
                <w:bCs/>
                <w:u w:val="single"/>
              </w:rPr>
              <w:t>low income</w:t>
            </w:r>
            <w:r w:rsidRPr="00CE1EE3">
              <w:rPr>
                <w:bCs/>
              </w:rPr>
              <w:t xml:space="preserve"> and </w:t>
            </w:r>
            <w:r w:rsidR="00450027">
              <w:rPr>
                <w:bCs/>
              </w:rPr>
              <w:t xml:space="preserve">that are </w:t>
            </w:r>
            <w:r w:rsidRPr="00CE1EE3">
              <w:rPr>
                <w:b/>
                <w:bCs/>
                <w:u w:val="single"/>
              </w:rPr>
              <w:t>vulnerable to the cold</w:t>
            </w:r>
            <w:r w:rsidRPr="00CE1EE3">
              <w:rPr>
                <w:bCs/>
              </w:rPr>
              <w:t xml:space="preserve"> will be eligible for this category</w:t>
            </w:r>
            <w:r>
              <w:rPr>
                <w:bCs/>
              </w:rPr>
              <w:t>.</w:t>
            </w:r>
            <w:r w:rsidR="00450027">
              <w:rPr>
                <w:bCs/>
              </w:rPr>
              <w:t xml:space="preserve"> </w:t>
            </w:r>
            <w:r>
              <w:rPr>
                <w:bCs/>
              </w:rPr>
              <w:t>Eligible households will meet the criteri</w:t>
            </w:r>
            <w:r w:rsidR="00450027">
              <w:rPr>
                <w:bCs/>
              </w:rPr>
              <w:t>a set out in Clause 5</w:t>
            </w:r>
            <w:r>
              <w:rPr>
                <w:bCs/>
              </w:rPr>
              <w:t xml:space="preserve">.0 and </w:t>
            </w:r>
            <w:r w:rsidR="00450027">
              <w:rPr>
                <w:bCs/>
              </w:rPr>
              <w:t>7</w:t>
            </w:r>
            <w:r>
              <w:rPr>
                <w:bCs/>
              </w:rPr>
              <w:t>.0.</w:t>
            </w:r>
          </w:p>
          <w:p w14:paraId="1B1CE558" w14:textId="77777777" w:rsidR="00CE1EE3" w:rsidRDefault="00CE1EE3" w:rsidP="00CE1EE3">
            <w:pPr>
              <w:pStyle w:val="NoSpacing"/>
              <w:jc w:val="both"/>
              <w:rPr>
                <w:bCs/>
              </w:rPr>
            </w:pPr>
          </w:p>
          <w:p w14:paraId="0E28D131" w14:textId="4BFCF198" w:rsidR="00CE1EE3" w:rsidRPr="00450027" w:rsidRDefault="00CE1EE3" w:rsidP="00CE1EE3">
            <w:pPr>
              <w:pStyle w:val="NoSpacing"/>
              <w:jc w:val="both"/>
              <w:rPr>
                <w:bCs/>
                <w:u w:val="single"/>
              </w:rPr>
            </w:pPr>
            <w:r w:rsidRPr="00450027">
              <w:rPr>
                <w:bCs/>
                <w:u w:val="single"/>
              </w:rPr>
              <w:t>SWI In Fill (SWIF)</w:t>
            </w:r>
          </w:p>
          <w:p w14:paraId="7CA4B203" w14:textId="57663CED" w:rsidR="00D55C90" w:rsidRPr="00D55C90" w:rsidRDefault="00E778A9" w:rsidP="00D55C90">
            <w:pPr>
              <w:pStyle w:val="FootnoteText"/>
            </w:pPr>
            <w:r>
              <w:rPr>
                <w:bCs/>
              </w:rPr>
              <w:t xml:space="preserve">Households will be eligible for Solid Wall Insulation In-Fill if they meet the criteria set out in </w:t>
            </w:r>
            <w:r w:rsidR="00D55C90" w:rsidRPr="00D55C90">
              <w:t>Energy Company Obligation (ECO3) Guidance: Delivery Version 1</w:t>
            </w:r>
            <w:r w:rsidR="00D55C90">
              <w:t>.</w:t>
            </w:r>
            <w:r w:rsidR="00D55C90">
              <w:rPr>
                <w:rStyle w:val="FootnoteReference"/>
              </w:rPr>
              <w:footnoteReference w:id="4"/>
            </w:r>
          </w:p>
          <w:p w14:paraId="64E9B8B5" w14:textId="755FEA9E" w:rsidR="00CE1EE3" w:rsidRDefault="00CE1EE3" w:rsidP="00CE1EE3">
            <w:pPr>
              <w:pStyle w:val="NoSpacing"/>
              <w:jc w:val="both"/>
              <w:rPr>
                <w:bCs/>
              </w:rPr>
            </w:pPr>
          </w:p>
          <w:p w14:paraId="7BB89AB1" w14:textId="35C70A76" w:rsidR="00CE1EE3" w:rsidRPr="00450027" w:rsidRDefault="00EA1314" w:rsidP="00CE1EE3">
            <w:pPr>
              <w:pStyle w:val="NoSpacing"/>
              <w:jc w:val="both"/>
              <w:rPr>
                <w:bCs/>
                <w:u w:val="single"/>
              </w:rPr>
            </w:pPr>
            <w:r>
              <w:rPr>
                <w:bCs/>
                <w:u w:val="single"/>
              </w:rPr>
              <w:t xml:space="preserve">Fuel Poor - </w:t>
            </w:r>
            <w:r w:rsidR="00CE1EE3" w:rsidRPr="00450027">
              <w:rPr>
                <w:bCs/>
                <w:u w:val="single"/>
              </w:rPr>
              <w:t>Area Based (</w:t>
            </w:r>
            <w:r>
              <w:rPr>
                <w:bCs/>
                <w:u w:val="single"/>
              </w:rPr>
              <w:t>FP-</w:t>
            </w:r>
            <w:r w:rsidR="00CE1EE3" w:rsidRPr="00450027">
              <w:rPr>
                <w:bCs/>
                <w:u w:val="single"/>
              </w:rPr>
              <w:t>AB)</w:t>
            </w:r>
          </w:p>
          <w:p w14:paraId="2716F665" w14:textId="61B9F9B6" w:rsidR="00E778A9" w:rsidRDefault="004961B2" w:rsidP="00CE1EE3">
            <w:pPr>
              <w:pStyle w:val="NoSpacing"/>
              <w:jc w:val="both"/>
              <w:rPr>
                <w:bCs/>
              </w:rPr>
            </w:pPr>
            <w:r>
              <w:rPr>
                <w:bCs/>
              </w:rPr>
              <w:t xml:space="preserve">A number of data zones in South Ayrshire are in the bottom 5% of the SIMD </w:t>
            </w:r>
            <w:r w:rsidR="00E778A9">
              <w:rPr>
                <w:bCs/>
              </w:rPr>
              <w:t>with extreme levels of deprivation</w:t>
            </w:r>
            <w:r>
              <w:rPr>
                <w:bCs/>
              </w:rPr>
              <w:t>.</w:t>
            </w:r>
            <w:r w:rsidR="00E778A9">
              <w:rPr>
                <w:bCs/>
              </w:rPr>
              <w:t xml:space="preserve"> Flexible Eligibility will be granted for all households in th</w:t>
            </w:r>
            <w:r>
              <w:rPr>
                <w:bCs/>
              </w:rPr>
              <w:t>ese</w:t>
            </w:r>
            <w:r w:rsidR="00E778A9">
              <w:rPr>
                <w:bCs/>
              </w:rPr>
              <w:t xml:space="preserve"> area</w:t>
            </w:r>
            <w:r>
              <w:rPr>
                <w:bCs/>
              </w:rPr>
              <w:t>s</w:t>
            </w:r>
            <w:r w:rsidR="00E778A9">
              <w:rPr>
                <w:bCs/>
              </w:rPr>
              <w:t xml:space="preserve"> </w:t>
            </w:r>
            <w:r w:rsidR="00DA55D5">
              <w:rPr>
                <w:bCs/>
              </w:rPr>
              <w:t>enabling the Council to take action at a community level to increase the impact of the scheme and benefit to residents.</w:t>
            </w:r>
            <w:r w:rsidR="00E778A9">
              <w:rPr>
                <w:bCs/>
              </w:rPr>
              <w:t xml:space="preserve"> </w:t>
            </w:r>
            <w:r>
              <w:rPr>
                <w:bCs/>
              </w:rPr>
              <w:t>See Annex A.</w:t>
            </w:r>
          </w:p>
          <w:p w14:paraId="40CF9A7C" w14:textId="77666CCC" w:rsidR="00CE1EE3" w:rsidRDefault="00CE1EE3" w:rsidP="00CE1EE3">
            <w:pPr>
              <w:pStyle w:val="NoSpacing"/>
              <w:jc w:val="both"/>
              <w:rPr>
                <w:bCs/>
              </w:rPr>
            </w:pPr>
          </w:p>
          <w:p w14:paraId="2F68C193" w14:textId="6137B5A9" w:rsidR="00CE1EE3" w:rsidRPr="00450027" w:rsidRDefault="00EA1314" w:rsidP="00CE1EE3">
            <w:pPr>
              <w:pStyle w:val="NoSpacing"/>
              <w:jc w:val="both"/>
              <w:rPr>
                <w:bCs/>
                <w:u w:val="single"/>
              </w:rPr>
            </w:pPr>
            <w:r>
              <w:rPr>
                <w:bCs/>
                <w:u w:val="single"/>
              </w:rPr>
              <w:t xml:space="preserve">Fuel Poor - </w:t>
            </w:r>
            <w:r w:rsidR="00CE1EE3" w:rsidRPr="00450027">
              <w:rPr>
                <w:bCs/>
                <w:u w:val="single"/>
              </w:rPr>
              <w:t>Exceptional Circumstances (</w:t>
            </w:r>
            <w:r>
              <w:rPr>
                <w:bCs/>
                <w:u w:val="single"/>
              </w:rPr>
              <w:t>FP-</w:t>
            </w:r>
            <w:r w:rsidR="00CE1EE3" w:rsidRPr="00450027">
              <w:rPr>
                <w:bCs/>
                <w:u w:val="single"/>
              </w:rPr>
              <w:t>EC)</w:t>
            </w:r>
          </w:p>
          <w:p w14:paraId="36FA2F10" w14:textId="328EDCBE" w:rsidR="00DA55D5" w:rsidRDefault="00DA55D5" w:rsidP="00CE1EE3">
            <w:pPr>
              <w:pStyle w:val="NoSpacing"/>
              <w:jc w:val="both"/>
              <w:rPr>
                <w:bCs/>
              </w:rPr>
            </w:pPr>
            <w:r>
              <w:rPr>
                <w:bCs/>
              </w:rPr>
              <w:t xml:space="preserve">South Ayrshire Council reserves the right to apply </w:t>
            </w:r>
            <w:r w:rsidR="00EA1314">
              <w:rPr>
                <w:bCs/>
              </w:rPr>
              <w:t>F</w:t>
            </w:r>
            <w:r>
              <w:rPr>
                <w:bCs/>
              </w:rPr>
              <w:t xml:space="preserve">lexible </w:t>
            </w:r>
            <w:r w:rsidR="00EA1314">
              <w:rPr>
                <w:bCs/>
              </w:rPr>
              <w:t>E</w:t>
            </w:r>
            <w:r>
              <w:rPr>
                <w:bCs/>
              </w:rPr>
              <w:t>ligibility to any household it deems to be eligible due to exceptional circumstances.</w:t>
            </w:r>
          </w:p>
          <w:p w14:paraId="5A2D7FFC" w14:textId="1DF3250F" w:rsidR="00CE1EE3" w:rsidRPr="00ED5B9D" w:rsidRDefault="00CE1EE3" w:rsidP="00A60307">
            <w:pPr>
              <w:pStyle w:val="NoSpacing"/>
              <w:jc w:val="both"/>
              <w:rPr>
                <w:b/>
                <w:bCs/>
              </w:rPr>
            </w:pPr>
          </w:p>
        </w:tc>
      </w:tr>
      <w:tr w:rsidR="00AC3E0F" w14:paraId="4A023F41" w14:textId="77777777" w:rsidTr="00AF5EAD">
        <w:tc>
          <w:tcPr>
            <w:tcW w:w="851" w:type="dxa"/>
          </w:tcPr>
          <w:p w14:paraId="16756121" w14:textId="3C3326F4" w:rsidR="00AC3E0F" w:rsidRPr="00C60224" w:rsidRDefault="00DA55D5" w:rsidP="00E51981">
            <w:pPr>
              <w:pStyle w:val="NoSpacing"/>
              <w:rPr>
                <w:b/>
              </w:rPr>
            </w:pPr>
            <w:r>
              <w:rPr>
                <w:b/>
              </w:rPr>
              <w:t>5</w:t>
            </w:r>
            <w:r w:rsidR="00C60224" w:rsidRPr="00C60224">
              <w:rPr>
                <w:b/>
              </w:rPr>
              <w:t>.0</w:t>
            </w:r>
          </w:p>
          <w:p w14:paraId="271DAE9D" w14:textId="141C22F2" w:rsidR="00C60224" w:rsidRDefault="00C60224" w:rsidP="00E51981">
            <w:pPr>
              <w:pStyle w:val="NoSpacing"/>
            </w:pPr>
          </w:p>
        </w:tc>
        <w:tc>
          <w:tcPr>
            <w:tcW w:w="8505" w:type="dxa"/>
          </w:tcPr>
          <w:p w14:paraId="38C072D6" w14:textId="29CB8F9A" w:rsidR="00AC3E0F" w:rsidRPr="00C60224" w:rsidRDefault="00C60224" w:rsidP="00C20493">
            <w:pPr>
              <w:pStyle w:val="NoSpacing"/>
              <w:jc w:val="both"/>
              <w:rPr>
                <w:color w:val="000000"/>
              </w:rPr>
            </w:pPr>
            <w:r w:rsidRPr="00ED5B9D">
              <w:rPr>
                <w:b/>
                <w:bCs/>
              </w:rPr>
              <w:t xml:space="preserve">Criteria for identifying </w:t>
            </w:r>
            <w:r w:rsidR="00C20493" w:rsidRPr="00EA1314">
              <w:rPr>
                <w:b/>
                <w:bCs/>
                <w:u w:val="single"/>
              </w:rPr>
              <w:t>low income</w:t>
            </w:r>
          </w:p>
        </w:tc>
      </w:tr>
      <w:tr w:rsidR="00C60224" w14:paraId="5ACBEBE7" w14:textId="77777777" w:rsidTr="00AF5EAD">
        <w:tc>
          <w:tcPr>
            <w:tcW w:w="851" w:type="dxa"/>
          </w:tcPr>
          <w:p w14:paraId="6262A990" w14:textId="65315761" w:rsidR="00C60224" w:rsidRDefault="00DA55D5" w:rsidP="00E51981">
            <w:pPr>
              <w:pStyle w:val="NoSpacing"/>
            </w:pPr>
            <w:r>
              <w:t>5</w:t>
            </w:r>
            <w:r w:rsidR="003D5764">
              <w:t>.1</w:t>
            </w:r>
          </w:p>
          <w:p w14:paraId="0B57B847" w14:textId="15C5DAAC" w:rsidR="003D5764" w:rsidRDefault="003D5764" w:rsidP="00E51981">
            <w:pPr>
              <w:pStyle w:val="NoSpacing"/>
            </w:pPr>
          </w:p>
        </w:tc>
        <w:tc>
          <w:tcPr>
            <w:tcW w:w="8505" w:type="dxa"/>
          </w:tcPr>
          <w:p w14:paraId="238D9100" w14:textId="29D40B30" w:rsidR="00C20493" w:rsidRDefault="00C20493" w:rsidP="002A5C41">
            <w:pPr>
              <w:pStyle w:val="NoSpacing"/>
              <w:jc w:val="both"/>
              <w:rPr>
                <w:color w:val="000000"/>
              </w:rPr>
            </w:pPr>
            <w:r>
              <w:rPr>
                <w:color w:val="000000"/>
              </w:rPr>
              <w:t xml:space="preserve">Low income households </w:t>
            </w:r>
            <w:r w:rsidR="002A5C41">
              <w:rPr>
                <w:color w:val="000000"/>
              </w:rPr>
              <w:t xml:space="preserve">will be identified as those </w:t>
            </w:r>
            <w:r w:rsidR="006F3880">
              <w:rPr>
                <w:color w:val="000000"/>
              </w:rPr>
              <w:t xml:space="preserve">in the first four Scottish income deciles </w:t>
            </w:r>
            <w:r>
              <w:rPr>
                <w:color w:val="000000"/>
              </w:rPr>
              <w:t>as set out in the table below</w:t>
            </w:r>
            <w:r w:rsidR="00A72C74">
              <w:rPr>
                <w:rStyle w:val="FootnoteReference"/>
                <w:color w:val="000000"/>
              </w:rPr>
              <w:footnoteReference w:id="5"/>
            </w:r>
            <w:r>
              <w:rPr>
                <w:color w:val="000000"/>
              </w:rPr>
              <w:t xml:space="preserve">. </w:t>
            </w:r>
            <w:r w:rsidR="00703EEE">
              <w:rPr>
                <w:color w:val="000000"/>
              </w:rPr>
              <w:t xml:space="preserve">These </w:t>
            </w:r>
            <w:r w:rsidR="00310814">
              <w:rPr>
                <w:color w:val="000000"/>
              </w:rPr>
              <w:t xml:space="preserve">equivalised </w:t>
            </w:r>
            <w:r w:rsidR="00703EEE">
              <w:rPr>
                <w:color w:val="000000"/>
              </w:rPr>
              <w:t>income thresholds identify household incomes below 85% of the Scottish median.</w:t>
            </w:r>
          </w:p>
          <w:p w14:paraId="32E1FBDA" w14:textId="4DC40869" w:rsidR="002A5C41" w:rsidRDefault="002A5C41" w:rsidP="00C20493">
            <w:pPr>
              <w:pStyle w:val="NoSpacing"/>
              <w:jc w:val="both"/>
              <w:rPr>
                <w:color w:val="000000"/>
              </w:rPr>
            </w:pPr>
          </w:p>
          <w:tbl>
            <w:tblPr>
              <w:tblStyle w:val="TableGrid"/>
              <w:tblW w:w="8281" w:type="dxa"/>
              <w:tblLayout w:type="fixed"/>
              <w:tblLook w:val="04A0" w:firstRow="1" w:lastRow="0" w:firstColumn="1" w:lastColumn="0" w:noHBand="0" w:noVBand="1"/>
            </w:tblPr>
            <w:tblGrid>
              <w:gridCol w:w="1790"/>
              <w:gridCol w:w="1559"/>
              <w:gridCol w:w="1560"/>
              <w:gridCol w:w="1701"/>
              <w:gridCol w:w="1671"/>
            </w:tblGrid>
            <w:tr w:rsidR="00703EEE" w14:paraId="48810C55" w14:textId="68CE729D" w:rsidTr="00AF5EAD">
              <w:tc>
                <w:tcPr>
                  <w:tcW w:w="1790" w:type="dxa"/>
                  <w:shd w:val="clear" w:color="auto" w:fill="D9D9D9" w:themeFill="background1" w:themeFillShade="D9"/>
                </w:tcPr>
                <w:p w14:paraId="72B17FDB" w14:textId="2C8CE19B" w:rsidR="00703EEE" w:rsidRDefault="00703EEE" w:rsidP="00C20493">
                  <w:pPr>
                    <w:pStyle w:val="NoSpacing"/>
                    <w:jc w:val="both"/>
                    <w:rPr>
                      <w:color w:val="000000"/>
                    </w:rPr>
                  </w:pPr>
                  <w:r>
                    <w:rPr>
                      <w:color w:val="000000"/>
                    </w:rPr>
                    <w:t>Household</w:t>
                  </w:r>
                </w:p>
              </w:tc>
              <w:tc>
                <w:tcPr>
                  <w:tcW w:w="1559" w:type="dxa"/>
                </w:tcPr>
                <w:p w14:paraId="5CBB4F55" w14:textId="77777777" w:rsidR="00703EEE" w:rsidRDefault="00703EEE" w:rsidP="00C20493">
                  <w:pPr>
                    <w:pStyle w:val="NoSpacing"/>
                    <w:jc w:val="both"/>
                    <w:rPr>
                      <w:color w:val="000000"/>
                    </w:rPr>
                  </w:pPr>
                  <w:r>
                    <w:rPr>
                      <w:color w:val="000000"/>
                    </w:rPr>
                    <w:t>Single Adult</w:t>
                  </w:r>
                </w:p>
                <w:p w14:paraId="1E82EDCC" w14:textId="3A9BCFCE" w:rsidR="00703EEE" w:rsidRDefault="00703EEE" w:rsidP="00C20493">
                  <w:pPr>
                    <w:pStyle w:val="NoSpacing"/>
                    <w:jc w:val="both"/>
                    <w:rPr>
                      <w:color w:val="000000"/>
                    </w:rPr>
                  </w:pPr>
                  <w:r>
                    <w:rPr>
                      <w:color w:val="000000"/>
                    </w:rPr>
                    <w:t>No Children</w:t>
                  </w:r>
                </w:p>
              </w:tc>
              <w:tc>
                <w:tcPr>
                  <w:tcW w:w="1560" w:type="dxa"/>
                </w:tcPr>
                <w:p w14:paraId="42A36320" w14:textId="77777777" w:rsidR="00703EEE" w:rsidRDefault="00703EEE" w:rsidP="00C20493">
                  <w:pPr>
                    <w:pStyle w:val="NoSpacing"/>
                    <w:jc w:val="both"/>
                    <w:rPr>
                      <w:color w:val="000000"/>
                    </w:rPr>
                  </w:pPr>
                  <w:r>
                    <w:rPr>
                      <w:color w:val="000000"/>
                    </w:rPr>
                    <w:t>Two Adults</w:t>
                  </w:r>
                </w:p>
                <w:p w14:paraId="1FE95AB1" w14:textId="17933FB7" w:rsidR="00703EEE" w:rsidRDefault="00703EEE" w:rsidP="00C20493">
                  <w:pPr>
                    <w:pStyle w:val="NoSpacing"/>
                    <w:jc w:val="both"/>
                    <w:rPr>
                      <w:color w:val="000000"/>
                    </w:rPr>
                  </w:pPr>
                  <w:r>
                    <w:rPr>
                      <w:color w:val="000000"/>
                    </w:rPr>
                    <w:t>No Children</w:t>
                  </w:r>
                </w:p>
              </w:tc>
              <w:tc>
                <w:tcPr>
                  <w:tcW w:w="1701" w:type="dxa"/>
                </w:tcPr>
                <w:p w14:paraId="3C750269" w14:textId="62E28A0D" w:rsidR="00703EEE" w:rsidRDefault="00703EEE" w:rsidP="00703EEE">
                  <w:pPr>
                    <w:pStyle w:val="NoSpacing"/>
                    <w:jc w:val="both"/>
                    <w:rPr>
                      <w:color w:val="000000"/>
                    </w:rPr>
                  </w:pPr>
                  <w:r>
                    <w:rPr>
                      <w:color w:val="000000"/>
                    </w:rPr>
                    <w:t>Single Adult</w:t>
                  </w:r>
                </w:p>
                <w:p w14:paraId="5648F8E3" w14:textId="04D1D707" w:rsidR="00703EEE" w:rsidRDefault="00703EEE" w:rsidP="00703EEE">
                  <w:pPr>
                    <w:pStyle w:val="NoSpacing"/>
                    <w:jc w:val="both"/>
                    <w:rPr>
                      <w:color w:val="000000"/>
                    </w:rPr>
                  </w:pPr>
                  <w:r>
                    <w:rPr>
                      <w:color w:val="000000"/>
                    </w:rPr>
                    <w:t>With Children</w:t>
                  </w:r>
                </w:p>
              </w:tc>
              <w:tc>
                <w:tcPr>
                  <w:tcW w:w="1671" w:type="dxa"/>
                </w:tcPr>
                <w:p w14:paraId="10E71BDA" w14:textId="77777777" w:rsidR="00703EEE" w:rsidRDefault="00703EEE" w:rsidP="00703EEE">
                  <w:pPr>
                    <w:pStyle w:val="NoSpacing"/>
                    <w:jc w:val="both"/>
                    <w:rPr>
                      <w:color w:val="000000"/>
                    </w:rPr>
                  </w:pPr>
                  <w:r>
                    <w:rPr>
                      <w:color w:val="000000"/>
                    </w:rPr>
                    <w:t>Two Adults</w:t>
                  </w:r>
                </w:p>
                <w:p w14:paraId="530FD5BD" w14:textId="2CF636E6" w:rsidR="00703EEE" w:rsidRDefault="00703EEE" w:rsidP="00703EEE">
                  <w:pPr>
                    <w:pStyle w:val="NoSpacing"/>
                    <w:jc w:val="both"/>
                    <w:rPr>
                      <w:color w:val="000000"/>
                    </w:rPr>
                  </w:pPr>
                  <w:r>
                    <w:rPr>
                      <w:color w:val="000000"/>
                    </w:rPr>
                    <w:t>With Children</w:t>
                  </w:r>
                </w:p>
              </w:tc>
            </w:tr>
            <w:tr w:rsidR="00703EEE" w14:paraId="0E1619CA" w14:textId="690430E5" w:rsidTr="00AF5EAD">
              <w:tc>
                <w:tcPr>
                  <w:tcW w:w="1790" w:type="dxa"/>
                  <w:shd w:val="clear" w:color="auto" w:fill="D9D9D9" w:themeFill="background1" w:themeFillShade="D9"/>
                </w:tcPr>
                <w:p w14:paraId="19C2F9FD" w14:textId="69BB771F" w:rsidR="00703EEE" w:rsidRDefault="00703EEE" w:rsidP="00C20493">
                  <w:pPr>
                    <w:pStyle w:val="NoSpacing"/>
                    <w:jc w:val="both"/>
                    <w:rPr>
                      <w:color w:val="000000"/>
                    </w:rPr>
                  </w:pPr>
                  <w:r>
                    <w:rPr>
                      <w:color w:val="000000"/>
                    </w:rPr>
                    <w:t>ANNUAL</w:t>
                  </w:r>
                </w:p>
              </w:tc>
              <w:tc>
                <w:tcPr>
                  <w:tcW w:w="1559" w:type="dxa"/>
                </w:tcPr>
                <w:p w14:paraId="67FD21F8" w14:textId="4C446E7F" w:rsidR="00703EEE" w:rsidRDefault="00703EEE" w:rsidP="00C20493">
                  <w:pPr>
                    <w:pStyle w:val="NoSpacing"/>
                    <w:jc w:val="both"/>
                    <w:rPr>
                      <w:color w:val="000000"/>
                    </w:rPr>
                  </w:pPr>
                  <w:r>
                    <w:rPr>
                      <w:color w:val="000000"/>
                    </w:rPr>
                    <w:t>£14,800</w:t>
                  </w:r>
                </w:p>
              </w:tc>
              <w:tc>
                <w:tcPr>
                  <w:tcW w:w="1560" w:type="dxa"/>
                </w:tcPr>
                <w:p w14:paraId="750D16BC" w14:textId="20F2E1C1" w:rsidR="00703EEE" w:rsidRDefault="00703EEE" w:rsidP="00C20493">
                  <w:pPr>
                    <w:pStyle w:val="NoSpacing"/>
                    <w:jc w:val="both"/>
                    <w:rPr>
                      <w:color w:val="000000"/>
                    </w:rPr>
                  </w:pPr>
                  <w:r>
                    <w:rPr>
                      <w:color w:val="000000"/>
                    </w:rPr>
                    <w:t>£22,100</w:t>
                  </w:r>
                </w:p>
              </w:tc>
              <w:tc>
                <w:tcPr>
                  <w:tcW w:w="1701" w:type="dxa"/>
                </w:tcPr>
                <w:p w14:paraId="122E1CDE" w14:textId="1000432B" w:rsidR="00703EEE" w:rsidRDefault="00703EEE" w:rsidP="00C20493">
                  <w:pPr>
                    <w:pStyle w:val="NoSpacing"/>
                    <w:jc w:val="both"/>
                    <w:rPr>
                      <w:color w:val="000000"/>
                    </w:rPr>
                  </w:pPr>
                  <w:r>
                    <w:rPr>
                      <w:color w:val="000000"/>
                    </w:rPr>
                    <w:t>£26,500</w:t>
                  </w:r>
                </w:p>
              </w:tc>
              <w:tc>
                <w:tcPr>
                  <w:tcW w:w="1671" w:type="dxa"/>
                </w:tcPr>
                <w:p w14:paraId="60D49F60" w14:textId="6E933AB1" w:rsidR="00703EEE" w:rsidRDefault="00703EEE" w:rsidP="00C20493">
                  <w:pPr>
                    <w:pStyle w:val="NoSpacing"/>
                    <w:jc w:val="both"/>
                    <w:rPr>
                      <w:color w:val="000000"/>
                    </w:rPr>
                  </w:pPr>
                  <w:r>
                    <w:rPr>
                      <w:color w:val="000000"/>
                    </w:rPr>
                    <w:t>£33,800</w:t>
                  </w:r>
                </w:p>
              </w:tc>
            </w:tr>
            <w:tr w:rsidR="00703EEE" w14:paraId="52BAA1C1" w14:textId="22232BD1" w:rsidTr="00AF5EAD">
              <w:tc>
                <w:tcPr>
                  <w:tcW w:w="1790" w:type="dxa"/>
                  <w:shd w:val="clear" w:color="auto" w:fill="D9D9D9" w:themeFill="background1" w:themeFillShade="D9"/>
                </w:tcPr>
                <w:p w14:paraId="00E80326" w14:textId="3247BA69" w:rsidR="00703EEE" w:rsidRDefault="00703EEE" w:rsidP="00C20493">
                  <w:pPr>
                    <w:pStyle w:val="NoSpacing"/>
                    <w:jc w:val="both"/>
                    <w:rPr>
                      <w:color w:val="000000"/>
                    </w:rPr>
                  </w:pPr>
                  <w:r>
                    <w:rPr>
                      <w:color w:val="000000"/>
                    </w:rPr>
                    <w:t>MONTHLY</w:t>
                  </w:r>
                </w:p>
              </w:tc>
              <w:tc>
                <w:tcPr>
                  <w:tcW w:w="1559" w:type="dxa"/>
                </w:tcPr>
                <w:p w14:paraId="5FCD7516" w14:textId="688E675B" w:rsidR="00703EEE" w:rsidRDefault="00310814" w:rsidP="00310814">
                  <w:pPr>
                    <w:pStyle w:val="NoSpacing"/>
                    <w:jc w:val="both"/>
                    <w:rPr>
                      <w:color w:val="000000"/>
                    </w:rPr>
                  </w:pPr>
                  <w:r>
                    <w:rPr>
                      <w:color w:val="000000"/>
                    </w:rPr>
                    <w:t>£1,230</w:t>
                  </w:r>
                </w:p>
              </w:tc>
              <w:tc>
                <w:tcPr>
                  <w:tcW w:w="1560" w:type="dxa"/>
                </w:tcPr>
                <w:p w14:paraId="6811B43E" w14:textId="7322841B" w:rsidR="00703EEE" w:rsidRDefault="00310814" w:rsidP="00C20493">
                  <w:pPr>
                    <w:pStyle w:val="NoSpacing"/>
                    <w:jc w:val="both"/>
                    <w:rPr>
                      <w:color w:val="000000"/>
                    </w:rPr>
                  </w:pPr>
                  <w:r>
                    <w:rPr>
                      <w:color w:val="000000"/>
                    </w:rPr>
                    <w:t>£1,841</w:t>
                  </w:r>
                </w:p>
              </w:tc>
              <w:tc>
                <w:tcPr>
                  <w:tcW w:w="1701" w:type="dxa"/>
                </w:tcPr>
                <w:p w14:paraId="0A3C9F5E" w14:textId="46F4F516" w:rsidR="00703EEE" w:rsidRDefault="00310814" w:rsidP="00C20493">
                  <w:pPr>
                    <w:pStyle w:val="NoSpacing"/>
                    <w:jc w:val="both"/>
                    <w:rPr>
                      <w:color w:val="000000"/>
                    </w:rPr>
                  </w:pPr>
                  <w:r>
                    <w:rPr>
                      <w:color w:val="000000"/>
                    </w:rPr>
                    <w:t>£2,208</w:t>
                  </w:r>
                </w:p>
              </w:tc>
              <w:tc>
                <w:tcPr>
                  <w:tcW w:w="1671" w:type="dxa"/>
                </w:tcPr>
                <w:p w14:paraId="3A54AE84" w14:textId="0ED73FF2" w:rsidR="00703EEE" w:rsidRDefault="00310814" w:rsidP="00C20493">
                  <w:pPr>
                    <w:pStyle w:val="NoSpacing"/>
                    <w:jc w:val="both"/>
                    <w:rPr>
                      <w:color w:val="000000"/>
                    </w:rPr>
                  </w:pPr>
                  <w:r>
                    <w:rPr>
                      <w:color w:val="000000"/>
                    </w:rPr>
                    <w:t>£2,816</w:t>
                  </w:r>
                </w:p>
              </w:tc>
            </w:tr>
            <w:tr w:rsidR="00703EEE" w14:paraId="5BA9D19C" w14:textId="77777777" w:rsidTr="00AF5EAD">
              <w:tc>
                <w:tcPr>
                  <w:tcW w:w="1790" w:type="dxa"/>
                  <w:shd w:val="clear" w:color="auto" w:fill="D9D9D9" w:themeFill="background1" w:themeFillShade="D9"/>
                </w:tcPr>
                <w:p w14:paraId="526A0C88" w14:textId="7DB088D9" w:rsidR="00703EEE" w:rsidRDefault="00703EEE" w:rsidP="00C20493">
                  <w:pPr>
                    <w:pStyle w:val="NoSpacing"/>
                    <w:jc w:val="both"/>
                    <w:rPr>
                      <w:color w:val="000000"/>
                    </w:rPr>
                  </w:pPr>
                  <w:r>
                    <w:rPr>
                      <w:color w:val="000000"/>
                    </w:rPr>
                    <w:t>WEEKLY</w:t>
                  </w:r>
                </w:p>
              </w:tc>
              <w:tc>
                <w:tcPr>
                  <w:tcW w:w="1559" w:type="dxa"/>
                </w:tcPr>
                <w:p w14:paraId="496FA58E" w14:textId="268B4C6C" w:rsidR="00703EEE" w:rsidRDefault="00310814" w:rsidP="00C20493">
                  <w:pPr>
                    <w:pStyle w:val="NoSpacing"/>
                    <w:jc w:val="both"/>
                    <w:rPr>
                      <w:color w:val="000000"/>
                    </w:rPr>
                  </w:pPr>
                  <w:r>
                    <w:rPr>
                      <w:color w:val="000000"/>
                    </w:rPr>
                    <w:t>£284</w:t>
                  </w:r>
                </w:p>
              </w:tc>
              <w:tc>
                <w:tcPr>
                  <w:tcW w:w="1560" w:type="dxa"/>
                </w:tcPr>
                <w:p w14:paraId="5B2F24DB" w14:textId="76FACE84" w:rsidR="00703EEE" w:rsidRDefault="00310814" w:rsidP="00C20493">
                  <w:pPr>
                    <w:pStyle w:val="NoSpacing"/>
                    <w:jc w:val="both"/>
                    <w:rPr>
                      <w:color w:val="000000"/>
                    </w:rPr>
                  </w:pPr>
                  <w:r>
                    <w:rPr>
                      <w:color w:val="000000"/>
                    </w:rPr>
                    <w:t>£425</w:t>
                  </w:r>
                </w:p>
              </w:tc>
              <w:tc>
                <w:tcPr>
                  <w:tcW w:w="1701" w:type="dxa"/>
                </w:tcPr>
                <w:p w14:paraId="3AA5D175" w14:textId="6EC3F289" w:rsidR="00703EEE" w:rsidRDefault="00310814" w:rsidP="00C20493">
                  <w:pPr>
                    <w:pStyle w:val="NoSpacing"/>
                    <w:jc w:val="both"/>
                    <w:rPr>
                      <w:color w:val="000000"/>
                    </w:rPr>
                  </w:pPr>
                  <w:r>
                    <w:rPr>
                      <w:color w:val="000000"/>
                    </w:rPr>
                    <w:t>£509</w:t>
                  </w:r>
                </w:p>
              </w:tc>
              <w:tc>
                <w:tcPr>
                  <w:tcW w:w="1671" w:type="dxa"/>
                </w:tcPr>
                <w:p w14:paraId="06613E90" w14:textId="2517B268" w:rsidR="00703EEE" w:rsidRDefault="00310814" w:rsidP="00C20493">
                  <w:pPr>
                    <w:pStyle w:val="NoSpacing"/>
                    <w:jc w:val="both"/>
                    <w:rPr>
                      <w:color w:val="000000"/>
                    </w:rPr>
                  </w:pPr>
                  <w:r>
                    <w:rPr>
                      <w:color w:val="000000"/>
                    </w:rPr>
                    <w:t>£650</w:t>
                  </w:r>
                </w:p>
              </w:tc>
            </w:tr>
          </w:tbl>
          <w:p w14:paraId="68432565" w14:textId="0394BD3F" w:rsidR="00C20493" w:rsidRDefault="00C20493" w:rsidP="00C20493">
            <w:pPr>
              <w:pStyle w:val="NoSpacing"/>
              <w:jc w:val="both"/>
              <w:rPr>
                <w:color w:val="000000"/>
              </w:rPr>
            </w:pPr>
          </w:p>
          <w:p w14:paraId="3F4525E7" w14:textId="51D17E1D" w:rsidR="00EA1314" w:rsidRDefault="00EA1314" w:rsidP="00310814">
            <w:pPr>
              <w:pStyle w:val="NoSpacing"/>
              <w:jc w:val="both"/>
              <w:rPr>
                <w:color w:val="000000"/>
              </w:rPr>
            </w:pPr>
          </w:p>
        </w:tc>
      </w:tr>
      <w:tr w:rsidR="00C60224" w14:paraId="01B3E2AE" w14:textId="77777777" w:rsidTr="00AF5EAD">
        <w:tc>
          <w:tcPr>
            <w:tcW w:w="851" w:type="dxa"/>
          </w:tcPr>
          <w:p w14:paraId="21AFDCA2" w14:textId="54D4703B" w:rsidR="00C60224" w:rsidRDefault="00DA55D5" w:rsidP="00E51981">
            <w:pPr>
              <w:pStyle w:val="NoSpacing"/>
            </w:pPr>
            <w:r>
              <w:lastRenderedPageBreak/>
              <w:t>5</w:t>
            </w:r>
            <w:r w:rsidR="003D5764">
              <w:t>.2</w:t>
            </w:r>
          </w:p>
          <w:p w14:paraId="646B7FE7" w14:textId="5BBAA098" w:rsidR="003D5764" w:rsidRDefault="003D5764" w:rsidP="00E51981">
            <w:pPr>
              <w:pStyle w:val="NoSpacing"/>
            </w:pPr>
          </w:p>
        </w:tc>
        <w:tc>
          <w:tcPr>
            <w:tcW w:w="8505" w:type="dxa"/>
          </w:tcPr>
          <w:p w14:paraId="3A295485" w14:textId="2ABFDEF9" w:rsidR="003D5764" w:rsidRDefault="003D5764" w:rsidP="003D5764">
            <w:pPr>
              <w:pStyle w:val="NoSpacing"/>
              <w:jc w:val="both"/>
              <w:rPr>
                <w:color w:val="000000"/>
              </w:rPr>
            </w:pPr>
            <w:r>
              <w:rPr>
                <w:color w:val="000000"/>
              </w:rPr>
              <w:t xml:space="preserve">Low income households will also be identified as those who receive </w:t>
            </w:r>
            <w:r w:rsidRPr="00F00BC2">
              <w:rPr>
                <w:b/>
                <w:color w:val="000000"/>
                <w:u w:val="single"/>
              </w:rPr>
              <w:t>any</w:t>
            </w:r>
            <w:r>
              <w:rPr>
                <w:color w:val="000000"/>
              </w:rPr>
              <w:t xml:space="preserve"> means</w:t>
            </w:r>
            <w:r w:rsidR="00315163">
              <w:rPr>
                <w:color w:val="000000"/>
              </w:rPr>
              <w:t>-</w:t>
            </w:r>
            <w:r>
              <w:rPr>
                <w:color w:val="000000"/>
              </w:rPr>
              <w:t>tested benefit including those that do not qualify under</w:t>
            </w:r>
            <w:r w:rsidR="00F00BC2">
              <w:rPr>
                <w:color w:val="000000"/>
              </w:rPr>
              <w:t xml:space="preserve"> the</w:t>
            </w:r>
            <w:r>
              <w:rPr>
                <w:color w:val="000000"/>
              </w:rPr>
              <w:t xml:space="preserve"> Help to Heat criteria.  </w:t>
            </w:r>
            <w:r w:rsidR="00F00BC2">
              <w:rPr>
                <w:color w:val="000000"/>
              </w:rPr>
              <w:t>These i</w:t>
            </w:r>
            <w:r>
              <w:rPr>
                <w:color w:val="000000"/>
              </w:rPr>
              <w:t xml:space="preserve">nclude </w:t>
            </w:r>
            <w:r w:rsidR="00F00BC2">
              <w:rPr>
                <w:color w:val="000000"/>
              </w:rPr>
              <w:t>Housing Benefit, Pension Credits (Savings Element), and any tax credits (CTC, WTC, UC).</w:t>
            </w:r>
          </w:p>
          <w:p w14:paraId="0B16B895" w14:textId="7CE190D2" w:rsidR="003D5764" w:rsidRDefault="003D5764" w:rsidP="003D5764">
            <w:pPr>
              <w:pStyle w:val="NoSpacing"/>
              <w:jc w:val="both"/>
              <w:rPr>
                <w:color w:val="000000"/>
              </w:rPr>
            </w:pPr>
          </w:p>
        </w:tc>
      </w:tr>
      <w:tr w:rsidR="00C60224" w14:paraId="7D5BA104" w14:textId="77777777" w:rsidTr="00AF5EAD">
        <w:tc>
          <w:tcPr>
            <w:tcW w:w="851" w:type="dxa"/>
          </w:tcPr>
          <w:p w14:paraId="6D0BE9AD" w14:textId="04F94E00" w:rsidR="00C60224" w:rsidRDefault="00DA55D5" w:rsidP="00E51981">
            <w:pPr>
              <w:pStyle w:val="NoSpacing"/>
            </w:pPr>
            <w:r>
              <w:t>5</w:t>
            </w:r>
            <w:r w:rsidR="00F00BC2">
              <w:t>.3</w:t>
            </w:r>
          </w:p>
        </w:tc>
        <w:tc>
          <w:tcPr>
            <w:tcW w:w="8505" w:type="dxa"/>
          </w:tcPr>
          <w:p w14:paraId="2853916B" w14:textId="77777777" w:rsidR="00F00BC2" w:rsidRDefault="00F00BC2" w:rsidP="00F00BC2">
            <w:pPr>
              <w:pStyle w:val="NoSpacing"/>
              <w:jc w:val="both"/>
              <w:rPr>
                <w:color w:val="000000"/>
              </w:rPr>
            </w:pPr>
            <w:r>
              <w:rPr>
                <w:color w:val="000000"/>
              </w:rPr>
              <w:t>The Council reserves the right to exercise discretion for households that do not meet the above criteria but are in financial difficulty.</w:t>
            </w:r>
          </w:p>
          <w:p w14:paraId="7D108217" w14:textId="1C349562" w:rsidR="00C60224" w:rsidRDefault="00F00BC2" w:rsidP="00F00BC2">
            <w:pPr>
              <w:pStyle w:val="NoSpacing"/>
              <w:jc w:val="both"/>
              <w:rPr>
                <w:color w:val="000000"/>
              </w:rPr>
            </w:pPr>
            <w:r>
              <w:rPr>
                <w:color w:val="000000"/>
              </w:rPr>
              <w:t xml:space="preserve"> </w:t>
            </w:r>
          </w:p>
        </w:tc>
      </w:tr>
      <w:tr w:rsidR="00C60224" w14:paraId="528EA15F" w14:textId="77777777" w:rsidTr="00AF5EAD">
        <w:tc>
          <w:tcPr>
            <w:tcW w:w="851" w:type="dxa"/>
          </w:tcPr>
          <w:p w14:paraId="48055CEE" w14:textId="4377AA7A" w:rsidR="00C60224" w:rsidRPr="00DA55D5" w:rsidRDefault="00DA55D5" w:rsidP="00E51981">
            <w:pPr>
              <w:pStyle w:val="NoSpacing"/>
              <w:rPr>
                <w:b/>
              </w:rPr>
            </w:pPr>
            <w:r w:rsidRPr="00DA55D5">
              <w:rPr>
                <w:b/>
              </w:rPr>
              <w:t>6.0</w:t>
            </w:r>
          </w:p>
        </w:tc>
        <w:tc>
          <w:tcPr>
            <w:tcW w:w="8505" w:type="dxa"/>
          </w:tcPr>
          <w:p w14:paraId="7B79BBF5" w14:textId="15303AF5" w:rsidR="00C60224" w:rsidRPr="00DA55D5" w:rsidRDefault="00DA55D5" w:rsidP="00FF3D65">
            <w:pPr>
              <w:pStyle w:val="NoSpacing"/>
              <w:jc w:val="both"/>
              <w:rPr>
                <w:b/>
                <w:color w:val="000000"/>
              </w:rPr>
            </w:pPr>
            <w:r w:rsidRPr="00DA55D5">
              <w:rPr>
                <w:b/>
                <w:color w:val="000000"/>
              </w:rPr>
              <w:t xml:space="preserve">Criteria for identifying </w:t>
            </w:r>
            <w:r w:rsidRPr="00EA1314">
              <w:rPr>
                <w:b/>
                <w:color w:val="000000"/>
                <w:u w:val="single"/>
              </w:rPr>
              <w:t>high heating costs</w:t>
            </w:r>
            <w:r w:rsidR="00EA1314">
              <w:rPr>
                <w:b/>
                <w:color w:val="000000"/>
                <w:u w:val="single"/>
              </w:rPr>
              <w:t>.</w:t>
            </w:r>
          </w:p>
          <w:p w14:paraId="10CAE3B7" w14:textId="101E74F6" w:rsidR="00DA55D5" w:rsidRDefault="00DA55D5" w:rsidP="00FF3D65">
            <w:pPr>
              <w:pStyle w:val="NoSpacing"/>
              <w:jc w:val="both"/>
              <w:rPr>
                <w:color w:val="000000"/>
              </w:rPr>
            </w:pPr>
          </w:p>
        </w:tc>
      </w:tr>
      <w:tr w:rsidR="00C60224" w14:paraId="0B442293" w14:textId="77777777" w:rsidTr="00AF5EAD">
        <w:tc>
          <w:tcPr>
            <w:tcW w:w="851" w:type="dxa"/>
          </w:tcPr>
          <w:p w14:paraId="5F4D47C4" w14:textId="77777777" w:rsidR="00C60224" w:rsidRDefault="00DA55D5" w:rsidP="00E51981">
            <w:pPr>
              <w:pStyle w:val="NoSpacing"/>
            </w:pPr>
            <w:r>
              <w:t>6.1</w:t>
            </w:r>
          </w:p>
          <w:p w14:paraId="44D194B3" w14:textId="7F118CA3" w:rsidR="00DA55D5" w:rsidRDefault="00DA55D5" w:rsidP="00E51981">
            <w:pPr>
              <w:pStyle w:val="NoSpacing"/>
            </w:pPr>
          </w:p>
        </w:tc>
        <w:tc>
          <w:tcPr>
            <w:tcW w:w="8505" w:type="dxa"/>
          </w:tcPr>
          <w:p w14:paraId="08674764" w14:textId="1DD9C3DC" w:rsidR="00C60224" w:rsidRDefault="00DA55D5" w:rsidP="00DA55D5">
            <w:pPr>
              <w:pStyle w:val="NoSpacing"/>
              <w:jc w:val="both"/>
              <w:rPr>
                <w:color w:val="000000"/>
              </w:rPr>
            </w:pPr>
            <w:r>
              <w:rPr>
                <w:color w:val="000000"/>
              </w:rPr>
              <w:t xml:space="preserve">Households will be identified as having high heating costs </w:t>
            </w:r>
            <w:r w:rsidR="00315163">
              <w:rPr>
                <w:color w:val="000000"/>
              </w:rPr>
              <w:t xml:space="preserve">if </w:t>
            </w:r>
            <w:r w:rsidR="00E63824">
              <w:rPr>
                <w:color w:val="000000"/>
              </w:rPr>
              <w:t>any of the following apply</w:t>
            </w:r>
            <w:r>
              <w:rPr>
                <w:color w:val="000000"/>
              </w:rPr>
              <w:t>:</w:t>
            </w:r>
          </w:p>
          <w:p w14:paraId="380C5E21" w14:textId="77777777" w:rsidR="00DA55D5" w:rsidRDefault="00DA55D5" w:rsidP="00DA55D5">
            <w:pPr>
              <w:pStyle w:val="NoSpacing"/>
              <w:numPr>
                <w:ilvl w:val="0"/>
                <w:numId w:val="17"/>
              </w:numPr>
              <w:jc w:val="both"/>
              <w:rPr>
                <w:color w:val="000000"/>
              </w:rPr>
            </w:pPr>
            <w:r>
              <w:rPr>
                <w:color w:val="000000"/>
              </w:rPr>
              <w:t>The property has an EPC rating of E or below.</w:t>
            </w:r>
          </w:p>
          <w:p w14:paraId="767724CB" w14:textId="77777777" w:rsidR="00DA55D5" w:rsidRDefault="00DA55D5" w:rsidP="00DA55D5">
            <w:pPr>
              <w:pStyle w:val="NoSpacing"/>
              <w:numPr>
                <w:ilvl w:val="0"/>
                <w:numId w:val="17"/>
              </w:numPr>
              <w:jc w:val="both"/>
              <w:rPr>
                <w:color w:val="000000"/>
              </w:rPr>
            </w:pPr>
            <w:r>
              <w:rPr>
                <w:color w:val="000000"/>
              </w:rPr>
              <w:t>The property has solid walls and no current insulation exists.</w:t>
            </w:r>
          </w:p>
          <w:p w14:paraId="53D948F7" w14:textId="77777777" w:rsidR="00DA55D5" w:rsidRDefault="00DA55D5" w:rsidP="00DA55D5">
            <w:pPr>
              <w:pStyle w:val="NoSpacing"/>
              <w:numPr>
                <w:ilvl w:val="0"/>
                <w:numId w:val="17"/>
              </w:numPr>
              <w:jc w:val="both"/>
              <w:rPr>
                <w:color w:val="000000"/>
              </w:rPr>
            </w:pPr>
            <w:r>
              <w:rPr>
                <w:color w:val="000000"/>
              </w:rPr>
              <w:t>The property has cavity walls and no current insulation exists.</w:t>
            </w:r>
          </w:p>
          <w:p w14:paraId="63189E56" w14:textId="77777777" w:rsidR="00DA55D5" w:rsidRDefault="00DA55D5" w:rsidP="00DA55D5">
            <w:pPr>
              <w:pStyle w:val="NoSpacing"/>
              <w:numPr>
                <w:ilvl w:val="0"/>
                <w:numId w:val="17"/>
              </w:numPr>
              <w:jc w:val="both"/>
              <w:rPr>
                <w:color w:val="000000"/>
              </w:rPr>
            </w:pPr>
            <w:r>
              <w:rPr>
                <w:color w:val="000000"/>
              </w:rPr>
              <w:t>The property’s primary heating source is not main gas.</w:t>
            </w:r>
          </w:p>
          <w:p w14:paraId="65959928" w14:textId="77777777" w:rsidR="00DA55D5" w:rsidRDefault="00DA55D5" w:rsidP="00DA55D5">
            <w:pPr>
              <w:pStyle w:val="NoSpacing"/>
              <w:numPr>
                <w:ilvl w:val="0"/>
                <w:numId w:val="17"/>
              </w:numPr>
              <w:jc w:val="both"/>
              <w:rPr>
                <w:color w:val="000000"/>
              </w:rPr>
            </w:pPr>
            <w:r>
              <w:rPr>
                <w:color w:val="000000"/>
              </w:rPr>
              <w:t xml:space="preserve">The property is heated for long periods, or abnormally high temperatures, or both, due to disability, health or other condition.  </w:t>
            </w:r>
          </w:p>
          <w:p w14:paraId="3742730A" w14:textId="38B07C19" w:rsidR="00DA55D5" w:rsidRDefault="00DA55D5" w:rsidP="00DA55D5">
            <w:pPr>
              <w:pStyle w:val="NoSpacing"/>
              <w:ind w:left="720"/>
              <w:jc w:val="both"/>
              <w:rPr>
                <w:color w:val="000000"/>
              </w:rPr>
            </w:pPr>
          </w:p>
        </w:tc>
      </w:tr>
      <w:tr w:rsidR="00C60224" w14:paraId="13F42BA5" w14:textId="77777777" w:rsidTr="00AF5EAD">
        <w:tc>
          <w:tcPr>
            <w:tcW w:w="851" w:type="dxa"/>
          </w:tcPr>
          <w:p w14:paraId="3964987E" w14:textId="167E7BD7" w:rsidR="00C60224" w:rsidRPr="00DA55D5" w:rsidRDefault="00DA55D5" w:rsidP="00E51981">
            <w:pPr>
              <w:pStyle w:val="NoSpacing"/>
              <w:rPr>
                <w:b/>
              </w:rPr>
            </w:pPr>
            <w:r>
              <w:rPr>
                <w:b/>
              </w:rPr>
              <w:t>7.0</w:t>
            </w:r>
          </w:p>
          <w:p w14:paraId="4FEF1002" w14:textId="63511A23" w:rsidR="00DA55D5" w:rsidRDefault="00DA55D5" w:rsidP="00E51981">
            <w:pPr>
              <w:pStyle w:val="NoSpacing"/>
            </w:pPr>
          </w:p>
        </w:tc>
        <w:tc>
          <w:tcPr>
            <w:tcW w:w="8505" w:type="dxa"/>
          </w:tcPr>
          <w:p w14:paraId="33A8A460" w14:textId="5BB5CAA8" w:rsidR="00DA55D5" w:rsidRPr="00DA55D5" w:rsidRDefault="00DA55D5" w:rsidP="00DA55D5">
            <w:pPr>
              <w:pStyle w:val="NoSpacing"/>
              <w:jc w:val="both"/>
              <w:rPr>
                <w:b/>
                <w:color w:val="000000"/>
              </w:rPr>
            </w:pPr>
            <w:r w:rsidRPr="00DA55D5">
              <w:rPr>
                <w:b/>
                <w:color w:val="000000"/>
              </w:rPr>
              <w:t>Criteria for identifying</w:t>
            </w:r>
            <w:r>
              <w:rPr>
                <w:b/>
                <w:color w:val="000000"/>
              </w:rPr>
              <w:t xml:space="preserve"> householders that are </w:t>
            </w:r>
            <w:r w:rsidRPr="00EA1314">
              <w:rPr>
                <w:b/>
                <w:color w:val="000000"/>
                <w:u w:val="single"/>
              </w:rPr>
              <w:t>vulnerable to the cold.</w:t>
            </w:r>
          </w:p>
          <w:p w14:paraId="2145F5D2" w14:textId="77777777" w:rsidR="00C60224" w:rsidRDefault="00C60224" w:rsidP="00FF3D65">
            <w:pPr>
              <w:pStyle w:val="NoSpacing"/>
              <w:jc w:val="both"/>
              <w:rPr>
                <w:color w:val="000000"/>
              </w:rPr>
            </w:pPr>
          </w:p>
        </w:tc>
      </w:tr>
      <w:tr w:rsidR="00C60224" w14:paraId="60FE8863" w14:textId="77777777" w:rsidTr="00AF5EAD">
        <w:tc>
          <w:tcPr>
            <w:tcW w:w="851" w:type="dxa"/>
          </w:tcPr>
          <w:p w14:paraId="193B0ED1" w14:textId="162A33EB" w:rsidR="00C60224" w:rsidRDefault="00DA55D5" w:rsidP="00E51981">
            <w:pPr>
              <w:pStyle w:val="NoSpacing"/>
            </w:pPr>
            <w:r>
              <w:t>7.1</w:t>
            </w:r>
          </w:p>
        </w:tc>
        <w:tc>
          <w:tcPr>
            <w:tcW w:w="8505" w:type="dxa"/>
          </w:tcPr>
          <w:p w14:paraId="0A5B6937" w14:textId="45FC8781" w:rsidR="00DA55D5" w:rsidRDefault="00DA55D5" w:rsidP="00DA55D5">
            <w:pPr>
              <w:pStyle w:val="NoSpacing"/>
              <w:jc w:val="both"/>
              <w:rPr>
                <w:color w:val="000000"/>
              </w:rPr>
            </w:pPr>
            <w:r>
              <w:rPr>
                <w:color w:val="000000"/>
              </w:rPr>
              <w:t xml:space="preserve">Households will be identified as </w:t>
            </w:r>
            <w:r w:rsidR="00FC74D6">
              <w:rPr>
                <w:color w:val="000000"/>
              </w:rPr>
              <w:t>being vulnerable to the cold if an occupant meets a</w:t>
            </w:r>
            <w:r>
              <w:rPr>
                <w:color w:val="000000"/>
              </w:rPr>
              <w:t>ny of the following</w:t>
            </w:r>
            <w:r w:rsidR="00FC74D6">
              <w:rPr>
                <w:color w:val="000000"/>
              </w:rPr>
              <w:t xml:space="preserve"> criteria</w:t>
            </w:r>
            <w:r>
              <w:rPr>
                <w:color w:val="000000"/>
              </w:rPr>
              <w:t>:</w:t>
            </w:r>
          </w:p>
          <w:p w14:paraId="69351FEB" w14:textId="03E74073" w:rsidR="00C60224" w:rsidRDefault="00FC74D6" w:rsidP="00FC74D6">
            <w:pPr>
              <w:pStyle w:val="NoSpacing"/>
              <w:numPr>
                <w:ilvl w:val="0"/>
                <w:numId w:val="18"/>
              </w:numPr>
              <w:jc w:val="both"/>
              <w:rPr>
                <w:color w:val="000000"/>
              </w:rPr>
            </w:pPr>
            <w:r>
              <w:rPr>
                <w:color w:val="000000"/>
              </w:rPr>
              <w:t>receives Carers Allowance for the care of another occupant.</w:t>
            </w:r>
          </w:p>
          <w:p w14:paraId="724A14DC" w14:textId="4FDB7635" w:rsidR="00FC74D6" w:rsidRDefault="00FC74D6" w:rsidP="00FC74D6">
            <w:pPr>
              <w:pStyle w:val="NoSpacing"/>
              <w:numPr>
                <w:ilvl w:val="0"/>
                <w:numId w:val="18"/>
              </w:numPr>
              <w:jc w:val="both"/>
              <w:rPr>
                <w:color w:val="000000"/>
              </w:rPr>
            </w:pPr>
            <w:r>
              <w:rPr>
                <w:color w:val="000000"/>
              </w:rPr>
              <w:t>has a limiting long term or terminal illness.</w:t>
            </w:r>
          </w:p>
          <w:p w14:paraId="62E336A2" w14:textId="5351A4AE" w:rsidR="00FC74D6" w:rsidRDefault="00FC74D6" w:rsidP="00FC74D6">
            <w:pPr>
              <w:pStyle w:val="NoSpacing"/>
              <w:numPr>
                <w:ilvl w:val="0"/>
                <w:numId w:val="18"/>
              </w:numPr>
              <w:jc w:val="both"/>
              <w:rPr>
                <w:color w:val="000000"/>
              </w:rPr>
            </w:pPr>
            <w:r>
              <w:rPr>
                <w:color w:val="000000"/>
              </w:rPr>
              <w:t>has a mental illness.</w:t>
            </w:r>
          </w:p>
          <w:p w14:paraId="09C36FAB" w14:textId="770DF7F4" w:rsidR="00FC74D6" w:rsidRDefault="00FC74D6" w:rsidP="00FC74D6">
            <w:pPr>
              <w:pStyle w:val="NoSpacing"/>
              <w:numPr>
                <w:ilvl w:val="0"/>
                <w:numId w:val="18"/>
              </w:numPr>
              <w:jc w:val="both"/>
              <w:rPr>
                <w:color w:val="000000"/>
              </w:rPr>
            </w:pPr>
            <w:r>
              <w:rPr>
                <w:color w:val="000000"/>
              </w:rPr>
              <w:t>has a respiratory condition.</w:t>
            </w:r>
          </w:p>
          <w:p w14:paraId="2CA3311B" w14:textId="015C9E51" w:rsidR="00FC74D6" w:rsidRDefault="00FC74D6" w:rsidP="00FC74D6">
            <w:pPr>
              <w:pStyle w:val="NoSpacing"/>
              <w:numPr>
                <w:ilvl w:val="0"/>
                <w:numId w:val="18"/>
              </w:numPr>
              <w:jc w:val="both"/>
              <w:rPr>
                <w:color w:val="000000"/>
              </w:rPr>
            </w:pPr>
            <w:r>
              <w:rPr>
                <w:color w:val="000000"/>
              </w:rPr>
              <w:t>has a disability.</w:t>
            </w:r>
          </w:p>
          <w:p w14:paraId="1D6EED1C" w14:textId="77777777" w:rsidR="00FC74D6" w:rsidRDefault="00FC74D6" w:rsidP="00FC74D6">
            <w:pPr>
              <w:pStyle w:val="NoSpacing"/>
              <w:numPr>
                <w:ilvl w:val="0"/>
                <w:numId w:val="18"/>
              </w:numPr>
              <w:jc w:val="both"/>
              <w:rPr>
                <w:color w:val="000000"/>
              </w:rPr>
            </w:pPr>
            <w:r>
              <w:rPr>
                <w:color w:val="000000"/>
              </w:rPr>
              <w:t xml:space="preserve">is 60 year old or over </w:t>
            </w:r>
            <w:r w:rsidRPr="00FC74D6">
              <w:rPr>
                <w:color w:val="000000"/>
              </w:rPr>
              <w:t xml:space="preserve"> </w:t>
            </w:r>
          </w:p>
          <w:p w14:paraId="2318B263" w14:textId="77777777" w:rsidR="00FC74D6" w:rsidRDefault="00FC74D6" w:rsidP="00FC74D6">
            <w:pPr>
              <w:pStyle w:val="NoSpacing"/>
              <w:numPr>
                <w:ilvl w:val="0"/>
                <w:numId w:val="18"/>
              </w:numPr>
              <w:jc w:val="both"/>
              <w:rPr>
                <w:color w:val="000000"/>
              </w:rPr>
            </w:pPr>
            <w:r>
              <w:rPr>
                <w:color w:val="000000"/>
              </w:rPr>
              <w:t>has dependants of 18 years or younger living in the home.</w:t>
            </w:r>
          </w:p>
          <w:p w14:paraId="09B43268" w14:textId="3991A2A0" w:rsidR="00FC74D6" w:rsidRPr="00FC74D6" w:rsidRDefault="00FC74D6" w:rsidP="00FC74D6">
            <w:pPr>
              <w:pStyle w:val="NoSpacing"/>
              <w:jc w:val="both"/>
              <w:rPr>
                <w:color w:val="000000"/>
              </w:rPr>
            </w:pPr>
          </w:p>
        </w:tc>
      </w:tr>
      <w:tr w:rsidR="00C60224" w14:paraId="5F12D4B9" w14:textId="77777777" w:rsidTr="00AF5EAD">
        <w:tc>
          <w:tcPr>
            <w:tcW w:w="851" w:type="dxa"/>
          </w:tcPr>
          <w:p w14:paraId="3EA76512" w14:textId="2FC28622" w:rsidR="00C60224" w:rsidRPr="00BD1EEA" w:rsidRDefault="00BD1EEA" w:rsidP="00E51981">
            <w:pPr>
              <w:pStyle w:val="NoSpacing"/>
              <w:rPr>
                <w:b/>
              </w:rPr>
            </w:pPr>
            <w:r w:rsidRPr="00BD1EEA">
              <w:rPr>
                <w:b/>
              </w:rPr>
              <w:t>8.0</w:t>
            </w:r>
          </w:p>
        </w:tc>
        <w:tc>
          <w:tcPr>
            <w:tcW w:w="8505" w:type="dxa"/>
          </w:tcPr>
          <w:p w14:paraId="69936EF1" w14:textId="77777777" w:rsidR="00C60224" w:rsidRDefault="00BD1EEA" w:rsidP="00FF3D65">
            <w:pPr>
              <w:pStyle w:val="NoSpacing"/>
              <w:jc w:val="both"/>
              <w:rPr>
                <w:b/>
                <w:color w:val="000000"/>
              </w:rPr>
            </w:pPr>
            <w:r w:rsidRPr="00BD1EEA">
              <w:rPr>
                <w:b/>
                <w:color w:val="000000"/>
              </w:rPr>
              <w:t>Declaration</w:t>
            </w:r>
          </w:p>
          <w:p w14:paraId="36DD33A3" w14:textId="39AAD3FD" w:rsidR="00BD1EEA" w:rsidRPr="00BD1EEA" w:rsidRDefault="00BD1EEA" w:rsidP="00FF3D65">
            <w:pPr>
              <w:pStyle w:val="NoSpacing"/>
              <w:jc w:val="both"/>
              <w:rPr>
                <w:b/>
                <w:color w:val="000000"/>
              </w:rPr>
            </w:pPr>
          </w:p>
        </w:tc>
      </w:tr>
      <w:tr w:rsidR="00C60224" w14:paraId="05981413" w14:textId="77777777" w:rsidTr="00AF5EAD">
        <w:tc>
          <w:tcPr>
            <w:tcW w:w="851" w:type="dxa"/>
          </w:tcPr>
          <w:p w14:paraId="02196B85" w14:textId="77777777" w:rsidR="00C60224" w:rsidRDefault="00BD1EEA" w:rsidP="00E51981">
            <w:pPr>
              <w:pStyle w:val="NoSpacing"/>
            </w:pPr>
            <w:r>
              <w:t>8.1</w:t>
            </w:r>
          </w:p>
          <w:p w14:paraId="0C6702DB" w14:textId="77777777" w:rsidR="00BD1EEA" w:rsidRDefault="00BD1EEA" w:rsidP="00E51981">
            <w:pPr>
              <w:pStyle w:val="NoSpacing"/>
            </w:pPr>
          </w:p>
          <w:p w14:paraId="0442A75A" w14:textId="77777777" w:rsidR="00BD1EEA" w:rsidRDefault="00BD1EEA" w:rsidP="00E51981">
            <w:pPr>
              <w:pStyle w:val="NoSpacing"/>
            </w:pPr>
          </w:p>
          <w:p w14:paraId="7A85791D" w14:textId="77777777" w:rsidR="00BD1EEA" w:rsidRDefault="00BD1EEA" w:rsidP="00E51981">
            <w:pPr>
              <w:pStyle w:val="NoSpacing"/>
            </w:pPr>
          </w:p>
          <w:p w14:paraId="7077953F" w14:textId="6D844BDD" w:rsidR="00BD1EEA" w:rsidRDefault="00BD1EEA" w:rsidP="00E51981">
            <w:pPr>
              <w:pStyle w:val="NoSpacing"/>
            </w:pPr>
          </w:p>
        </w:tc>
        <w:tc>
          <w:tcPr>
            <w:tcW w:w="8505" w:type="dxa"/>
          </w:tcPr>
          <w:p w14:paraId="05917E66" w14:textId="77777777" w:rsidR="00C60224" w:rsidRDefault="00BD1EEA" w:rsidP="00FF3D65">
            <w:pPr>
              <w:pStyle w:val="NoSpacing"/>
              <w:jc w:val="both"/>
              <w:rPr>
                <w:color w:val="000000"/>
              </w:rPr>
            </w:pPr>
            <w:r>
              <w:rPr>
                <w:color w:val="000000"/>
              </w:rPr>
              <w:t xml:space="preserve">In order to access Flexible Eligibility funding, South Ayrshire Council is required to submit a Local Authority Declaration to the ECO supplier. The final decision on whether a household receives ECO measures is made by the energy suppliers and therefore inclusion in a Declaration will not guarantee installation of measures.  </w:t>
            </w:r>
          </w:p>
          <w:p w14:paraId="36A57C23" w14:textId="17D5F129" w:rsidR="00BD1EEA" w:rsidRDefault="00BD1EEA" w:rsidP="00FF3D65">
            <w:pPr>
              <w:pStyle w:val="NoSpacing"/>
              <w:jc w:val="both"/>
              <w:rPr>
                <w:color w:val="000000"/>
              </w:rPr>
            </w:pPr>
          </w:p>
        </w:tc>
      </w:tr>
      <w:tr w:rsidR="00C60224" w14:paraId="4229F5C4" w14:textId="77777777" w:rsidTr="00AF5EAD">
        <w:tc>
          <w:tcPr>
            <w:tcW w:w="851" w:type="dxa"/>
          </w:tcPr>
          <w:p w14:paraId="3646C9B6" w14:textId="16EF7815" w:rsidR="00C60224" w:rsidRDefault="00BD1EEA" w:rsidP="00E51981">
            <w:pPr>
              <w:pStyle w:val="NoSpacing"/>
            </w:pPr>
            <w:r>
              <w:t>8.2</w:t>
            </w:r>
          </w:p>
        </w:tc>
        <w:tc>
          <w:tcPr>
            <w:tcW w:w="8505" w:type="dxa"/>
          </w:tcPr>
          <w:p w14:paraId="12A09A43" w14:textId="77777777" w:rsidR="00BD1EEA" w:rsidRDefault="00BD1EEA" w:rsidP="00BD1EEA">
            <w:pPr>
              <w:pStyle w:val="NoSpacing"/>
              <w:jc w:val="both"/>
              <w:rPr>
                <w:color w:val="000000"/>
              </w:rPr>
            </w:pPr>
            <w:r>
              <w:rPr>
                <w:color w:val="000000"/>
              </w:rPr>
              <w:t>The final decision will depend on:</w:t>
            </w:r>
          </w:p>
          <w:p w14:paraId="364ACA31" w14:textId="7BDE8867" w:rsidR="00BD1EEA" w:rsidRDefault="00BD1EEA" w:rsidP="00BD1EEA">
            <w:pPr>
              <w:pStyle w:val="NoSpacing"/>
              <w:numPr>
                <w:ilvl w:val="0"/>
                <w:numId w:val="9"/>
              </w:numPr>
              <w:jc w:val="both"/>
              <w:rPr>
                <w:color w:val="000000"/>
              </w:rPr>
            </w:pPr>
            <w:r>
              <w:rPr>
                <w:color w:val="000000"/>
              </w:rPr>
              <w:t>The survey carried out on the property and the installation costs calculated.</w:t>
            </w:r>
          </w:p>
          <w:p w14:paraId="6E3B8913" w14:textId="2323E243" w:rsidR="00BD1EEA" w:rsidRDefault="00BD1EEA" w:rsidP="00BD1EEA">
            <w:pPr>
              <w:pStyle w:val="NoSpacing"/>
              <w:numPr>
                <w:ilvl w:val="0"/>
                <w:numId w:val="9"/>
              </w:numPr>
              <w:jc w:val="both"/>
              <w:rPr>
                <w:color w:val="000000"/>
              </w:rPr>
            </w:pPr>
            <w:r>
              <w:rPr>
                <w:color w:val="000000"/>
              </w:rPr>
              <w:t>The energy savings that can be achieved for a property.</w:t>
            </w:r>
          </w:p>
          <w:p w14:paraId="7D067E7B" w14:textId="463B9AC0" w:rsidR="00BD1EEA" w:rsidRDefault="00315163" w:rsidP="00BD1EEA">
            <w:pPr>
              <w:pStyle w:val="NoSpacing"/>
              <w:numPr>
                <w:ilvl w:val="0"/>
                <w:numId w:val="9"/>
              </w:numPr>
              <w:jc w:val="both"/>
              <w:rPr>
                <w:color w:val="000000"/>
              </w:rPr>
            </w:pPr>
            <w:r>
              <w:rPr>
                <w:color w:val="000000"/>
              </w:rPr>
              <w:t xml:space="preserve">Whether there </w:t>
            </w:r>
            <w:r w:rsidR="00BD1EEA">
              <w:rPr>
                <w:color w:val="000000"/>
              </w:rPr>
              <w:t>is adequate funding to support ECO funding for the installation of the energy efficiency measures.</w:t>
            </w:r>
          </w:p>
          <w:p w14:paraId="7D2F3A21" w14:textId="6B765A8F" w:rsidR="00BD1EEA" w:rsidRDefault="00BD1EEA" w:rsidP="00BD1EEA">
            <w:pPr>
              <w:pStyle w:val="NoSpacing"/>
              <w:numPr>
                <w:ilvl w:val="0"/>
                <w:numId w:val="9"/>
              </w:numPr>
              <w:jc w:val="both"/>
              <w:rPr>
                <w:color w:val="000000"/>
              </w:rPr>
            </w:pPr>
            <w:r>
              <w:rPr>
                <w:color w:val="000000"/>
              </w:rPr>
              <w:t>Whether ECO obligated suppliers have already achieved their HHCRO target.</w:t>
            </w:r>
          </w:p>
          <w:p w14:paraId="54B5166B" w14:textId="77777777" w:rsidR="00C60224" w:rsidRDefault="00C60224" w:rsidP="00FF3D65">
            <w:pPr>
              <w:pStyle w:val="NoSpacing"/>
              <w:jc w:val="both"/>
              <w:rPr>
                <w:color w:val="000000"/>
              </w:rPr>
            </w:pPr>
          </w:p>
        </w:tc>
      </w:tr>
      <w:tr w:rsidR="00C60224" w14:paraId="3552D822" w14:textId="77777777" w:rsidTr="00AF5EAD">
        <w:tc>
          <w:tcPr>
            <w:tcW w:w="851" w:type="dxa"/>
          </w:tcPr>
          <w:p w14:paraId="5EC63372" w14:textId="6880953C" w:rsidR="00C60224" w:rsidRPr="00BD1EEA" w:rsidRDefault="00BD1EEA" w:rsidP="00E51981">
            <w:pPr>
              <w:pStyle w:val="NoSpacing"/>
              <w:rPr>
                <w:b/>
              </w:rPr>
            </w:pPr>
            <w:r w:rsidRPr="00BD1EEA">
              <w:rPr>
                <w:b/>
              </w:rPr>
              <w:t>9.0</w:t>
            </w:r>
          </w:p>
        </w:tc>
        <w:tc>
          <w:tcPr>
            <w:tcW w:w="8505" w:type="dxa"/>
          </w:tcPr>
          <w:p w14:paraId="7C496994" w14:textId="77777777" w:rsidR="00C60224" w:rsidRDefault="00BD1EEA" w:rsidP="00FF3D65">
            <w:pPr>
              <w:pStyle w:val="NoSpacing"/>
              <w:jc w:val="both"/>
              <w:rPr>
                <w:b/>
                <w:color w:val="000000"/>
              </w:rPr>
            </w:pPr>
            <w:r w:rsidRPr="00BD1EEA">
              <w:rPr>
                <w:b/>
                <w:color w:val="000000"/>
              </w:rPr>
              <w:t>Governance</w:t>
            </w:r>
          </w:p>
          <w:p w14:paraId="74B0950C" w14:textId="487CF17F" w:rsidR="00C6186A" w:rsidRPr="00BD1EEA" w:rsidRDefault="00C6186A" w:rsidP="00FF3D65">
            <w:pPr>
              <w:pStyle w:val="NoSpacing"/>
              <w:jc w:val="both"/>
              <w:rPr>
                <w:b/>
                <w:color w:val="000000"/>
              </w:rPr>
            </w:pPr>
          </w:p>
        </w:tc>
      </w:tr>
      <w:tr w:rsidR="00C60224" w14:paraId="77192F4F" w14:textId="77777777" w:rsidTr="00AF5EAD">
        <w:tc>
          <w:tcPr>
            <w:tcW w:w="851" w:type="dxa"/>
          </w:tcPr>
          <w:p w14:paraId="463A640C" w14:textId="64ECE7A0" w:rsidR="00C60224" w:rsidRDefault="00C6186A" w:rsidP="00E51981">
            <w:pPr>
              <w:pStyle w:val="NoSpacing"/>
            </w:pPr>
            <w:r>
              <w:t>9.1</w:t>
            </w:r>
          </w:p>
        </w:tc>
        <w:tc>
          <w:tcPr>
            <w:tcW w:w="8505" w:type="dxa"/>
          </w:tcPr>
          <w:p w14:paraId="2CB48E86" w14:textId="77AC8AB1" w:rsidR="00C60224" w:rsidRDefault="00BD1EEA" w:rsidP="00FF3D65">
            <w:pPr>
              <w:pStyle w:val="NoSpacing"/>
              <w:jc w:val="both"/>
              <w:rPr>
                <w:bCs/>
              </w:rPr>
            </w:pPr>
            <w:r>
              <w:rPr>
                <w:bCs/>
              </w:rPr>
              <w:t xml:space="preserve">The Energy Agency will be responsible for collecting household data on behalf of South Ayrshire Council to determine that the householder </w:t>
            </w:r>
            <w:r w:rsidR="00C6186A">
              <w:rPr>
                <w:bCs/>
              </w:rPr>
              <w:t>meets the Flexible Eligibility c</w:t>
            </w:r>
            <w:r>
              <w:rPr>
                <w:bCs/>
              </w:rPr>
              <w:t>riteria.  This data will be collected through the completion of a Household Energy Efficie</w:t>
            </w:r>
            <w:r w:rsidR="00C6186A">
              <w:rPr>
                <w:bCs/>
              </w:rPr>
              <w:t>ncy Survey form</w:t>
            </w:r>
            <w:r w:rsidR="00315163">
              <w:rPr>
                <w:bCs/>
              </w:rPr>
              <w:t>,</w:t>
            </w:r>
            <w:r w:rsidR="00C6186A">
              <w:rPr>
                <w:bCs/>
              </w:rPr>
              <w:t xml:space="preserve"> either via post or at an in-house sign</w:t>
            </w:r>
            <w:r w:rsidR="00315163">
              <w:rPr>
                <w:bCs/>
              </w:rPr>
              <w:t>-</w:t>
            </w:r>
            <w:r w:rsidR="00C6186A">
              <w:rPr>
                <w:bCs/>
              </w:rPr>
              <w:t>up visit with a Project Officer.</w:t>
            </w:r>
          </w:p>
          <w:p w14:paraId="491CF614" w14:textId="6180FE9C" w:rsidR="00BD1EEA" w:rsidRDefault="00BD1EEA" w:rsidP="00FF3D65">
            <w:pPr>
              <w:pStyle w:val="NoSpacing"/>
              <w:jc w:val="both"/>
              <w:rPr>
                <w:color w:val="000000"/>
              </w:rPr>
            </w:pPr>
          </w:p>
        </w:tc>
      </w:tr>
      <w:tr w:rsidR="00C60224" w14:paraId="34FE91C8" w14:textId="77777777" w:rsidTr="00AF5EAD">
        <w:tc>
          <w:tcPr>
            <w:tcW w:w="851" w:type="dxa"/>
          </w:tcPr>
          <w:p w14:paraId="1C38E5EF" w14:textId="0C5A64FF" w:rsidR="00C60224" w:rsidRDefault="00C6186A" w:rsidP="00E51981">
            <w:pPr>
              <w:pStyle w:val="NoSpacing"/>
            </w:pPr>
            <w:r>
              <w:lastRenderedPageBreak/>
              <w:t>9.2</w:t>
            </w:r>
          </w:p>
        </w:tc>
        <w:tc>
          <w:tcPr>
            <w:tcW w:w="8505" w:type="dxa"/>
          </w:tcPr>
          <w:p w14:paraId="1D6FF4CF" w14:textId="12A9FDCA" w:rsidR="00BD1EEA" w:rsidRDefault="00BD1EEA" w:rsidP="00BD1EEA">
            <w:pPr>
              <w:pStyle w:val="NoSpacing"/>
              <w:jc w:val="both"/>
              <w:rPr>
                <w:bCs/>
              </w:rPr>
            </w:pPr>
            <w:r>
              <w:rPr>
                <w:bCs/>
              </w:rPr>
              <w:t xml:space="preserve">The Energy Agency will complete an LA Declaration for each household that they have determined eligible for Flexible Eligibility.  The declaration clearly states </w:t>
            </w:r>
            <w:r w:rsidR="00C6186A">
              <w:rPr>
                <w:bCs/>
              </w:rPr>
              <w:t xml:space="preserve">the </w:t>
            </w:r>
            <w:r>
              <w:rPr>
                <w:bCs/>
              </w:rPr>
              <w:t>householder</w:t>
            </w:r>
            <w:r w:rsidR="00C6186A">
              <w:rPr>
                <w:bCs/>
              </w:rPr>
              <w:t>s</w:t>
            </w:r>
            <w:r>
              <w:rPr>
                <w:bCs/>
              </w:rPr>
              <w:t xml:space="preserve"> Flexib</w:t>
            </w:r>
            <w:r w:rsidR="00C6186A">
              <w:rPr>
                <w:bCs/>
              </w:rPr>
              <w:t>le Eligibility category:</w:t>
            </w:r>
          </w:p>
          <w:p w14:paraId="6B0F6849" w14:textId="22CABAE5" w:rsidR="00BD1EEA" w:rsidRDefault="00C6186A" w:rsidP="00BD1EEA">
            <w:pPr>
              <w:pStyle w:val="NoSpacing"/>
              <w:numPr>
                <w:ilvl w:val="0"/>
                <w:numId w:val="3"/>
              </w:numPr>
              <w:jc w:val="both"/>
              <w:rPr>
                <w:bCs/>
              </w:rPr>
            </w:pPr>
            <w:r>
              <w:rPr>
                <w:bCs/>
              </w:rPr>
              <w:t>Fuel Poor</w:t>
            </w:r>
            <w:r w:rsidR="00BD1EEA">
              <w:rPr>
                <w:bCs/>
              </w:rPr>
              <w:t xml:space="preserve"> (FP)</w:t>
            </w:r>
          </w:p>
          <w:p w14:paraId="33670792" w14:textId="2ECBAE23" w:rsidR="00C6186A" w:rsidRDefault="00C6186A" w:rsidP="00C6186A">
            <w:pPr>
              <w:pStyle w:val="NoSpacing"/>
              <w:numPr>
                <w:ilvl w:val="0"/>
                <w:numId w:val="3"/>
              </w:numPr>
              <w:jc w:val="both"/>
              <w:rPr>
                <w:bCs/>
              </w:rPr>
            </w:pPr>
            <w:r w:rsidRPr="00CE1EE3">
              <w:rPr>
                <w:bCs/>
              </w:rPr>
              <w:t>Low Income and Vulnerable to the Cold</w:t>
            </w:r>
            <w:r>
              <w:rPr>
                <w:bCs/>
              </w:rPr>
              <w:t xml:space="preserve"> (LIVC)</w:t>
            </w:r>
          </w:p>
          <w:p w14:paraId="0CD3C13F" w14:textId="0E644731" w:rsidR="00C6186A" w:rsidRDefault="00C6186A" w:rsidP="00C6186A">
            <w:pPr>
              <w:pStyle w:val="NoSpacing"/>
              <w:numPr>
                <w:ilvl w:val="0"/>
                <w:numId w:val="3"/>
              </w:numPr>
              <w:jc w:val="both"/>
              <w:rPr>
                <w:bCs/>
              </w:rPr>
            </w:pPr>
            <w:r>
              <w:rPr>
                <w:bCs/>
              </w:rPr>
              <w:t>SWI In Fill (SWIF) – 50% or 66%</w:t>
            </w:r>
          </w:p>
          <w:p w14:paraId="471212E1" w14:textId="2DBBD73A" w:rsidR="00C6186A" w:rsidRDefault="00C6186A" w:rsidP="00C6186A">
            <w:pPr>
              <w:pStyle w:val="NoSpacing"/>
              <w:numPr>
                <w:ilvl w:val="0"/>
                <w:numId w:val="3"/>
              </w:numPr>
              <w:jc w:val="both"/>
              <w:rPr>
                <w:bCs/>
              </w:rPr>
            </w:pPr>
            <w:r>
              <w:rPr>
                <w:bCs/>
              </w:rPr>
              <w:t>Area Based (</w:t>
            </w:r>
            <w:r w:rsidR="00E12531">
              <w:rPr>
                <w:bCs/>
              </w:rPr>
              <w:t>FP-</w:t>
            </w:r>
            <w:r>
              <w:rPr>
                <w:bCs/>
              </w:rPr>
              <w:t>AB)</w:t>
            </w:r>
          </w:p>
          <w:p w14:paraId="56E44DF4" w14:textId="569A137C" w:rsidR="00C6186A" w:rsidRDefault="00C6186A" w:rsidP="00C6186A">
            <w:pPr>
              <w:pStyle w:val="NoSpacing"/>
              <w:numPr>
                <w:ilvl w:val="0"/>
                <w:numId w:val="3"/>
              </w:numPr>
              <w:jc w:val="both"/>
              <w:rPr>
                <w:bCs/>
              </w:rPr>
            </w:pPr>
            <w:r>
              <w:rPr>
                <w:bCs/>
              </w:rPr>
              <w:t>Exceptional Circumstances (</w:t>
            </w:r>
            <w:r w:rsidR="00E12531">
              <w:rPr>
                <w:bCs/>
              </w:rPr>
              <w:t>FP-</w:t>
            </w:r>
            <w:r>
              <w:rPr>
                <w:bCs/>
              </w:rPr>
              <w:t>EC)</w:t>
            </w:r>
          </w:p>
          <w:p w14:paraId="4DD9BB98" w14:textId="77777777" w:rsidR="00C60224" w:rsidRDefault="00C60224" w:rsidP="00FF3D65">
            <w:pPr>
              <w:pStyle w:val="NoSpacing"/>
              <w:jc w:val="both"/>
              <w:rPr>
                <w:color w:val="000000"/>
              </w:rPr>
            </w:pPr>
          </w:p>
        </w:tc>
      </w:tr>
      <w:tr w:rsidR="00C60224" w14:paraId="7BE9F88E" w14:textId="77777777" w:rsidTr="00AF5EAD">
        <w:tc>
          <w:tcPr>
            <w:tcW w:w="851" w:type="dxa"/>
          </w:tcPr>
          <w:p w14:paraId="252B7E26" w14:textId="5B63DB28" w:rsidR="00C60224" w:rsidRDefault="00C6186A" w:rsidP="00E51981">
            <w:pPr>
              <w:pStyle w:val="NoSpacing"/>
            </w:pPr>
            <w:r>
              <w:t>9.3</w:t>
            </w:r>
          </w:p>
        </w:tc>
        <w:tc>
          <w:tcPr>
            <w:tcW w:w="8505" w:type="dxa"/>
          </w:tcPr>
          <w:p w14:paraId="3C418FC5" w14:textId="023278EE" w:rsidR="00C60224" w:rsidRDefault="00BD1EEA" w:rsidP="00FF3D65">
            <w:pPr>
              <w:pStyle w:val="NoSpacing"/>
              <w:jc w:val="both"/>
              <w:rPr>
                <w:bCs/>
              </w:rPr>
            </w:pPr>
            <w:r>
              <w:rPr>
                <w:bCs/>
              </w:rPr>
              <w:t>A</w:t>
            </w:r>
            <w:r w:rsidRPr="00704875">
              <w:rPr>
                <w:bCs/>
              </w:rPr>
              <w:t>n individual file will be c</w:t>
            </w:r>
            <w:r>
              <w:rPr>
                <w:bCs/>
              </w:rPr>
              <w:t xml:space="preserve">reated for each household </w:t>
            </w:r>
            <w:r w:rsidR="00C6186A">
              <w:rPr>
                <w:bCs/>
              </w:rPr>
              <w:t xml:space="preserve">and held securely on a customer database by the Energy Agency.  </w:t>
            </w:r>
          </w:p>
          <w:p w14:paraId="10933F24" w14:textId="380BEAF5" w:rsidR="00C6186A" w:rsidRDefault="00C6186A" w:rsidP="00FF3D65">
            <w:pPr>
              <w:pStyle w:val="NoSpacing"/>
              <w:jc w:val="both"/>
              <w:rPr>
                <w:color w:val="000000"/>
              </w:rPr>
            </w:pPr>
          </w:p>
        </w:tc>
      </w:tr>
      <w:tr w:rsidR="00C60224" w14:paraId="08694D02" w14:textId="77777777" w:rsidTr="00AF5EAD">
        <w:tc>
          <w:tcPr>
            <w:tcW w:w="851" w:type="dxa"/>
          </w:tcPr>
          <w:p w14:paraId="59F14D6E" w14:textId="5EFD0181" w:rsidR="00C60224" w:rsidRDefault="00C6186A" w:rsidP="00E51981">
            <w:pPr>
              <w:pStyle w:val="NoSpacing"/>
            </w:pPr>
            <w:r>
              <w:t>9.4</w:t>
            </w:r>
          </w:p>
        </w:tc>
        <w:tc>
          <w:tcPr>
            <w:tcW w:w="8505" w:type="dxa"/>
          </w:tcPr>
          <w:p w14:paraId="5E2AC829" w14:textId="07425543" w:rsidR="00BD1EEA" w:rsidRDefault="00BD1EEA" w:rsidP="00BD1EEA">
            <w:pPr>
              <w:pStyle w:val="NoSpacing"/>
              <w:jc w:val="both"/>
              <w:rPr>
                <w:bCs/>
              </w:rPr>
            </w:pPr>
            <w:r>
              <w:rPr>
                <w:bCs/>
              </w:rPr>
              <w:t xml:space="preserve">The LA Declaration </w:t>
            </w:r>
            <w:r w:rsidR="00C6186A">
              <w:rPr>
                <w:bCs/>
              </w:rPr>
              <w:t xml:space="preserve">will </w:t>
            </w:r>
            <w:r>
              <w:rPr>
                <w:bCs/>
              </w:rPr>
              <w:t xml:space="preserve">be presented to </w:t>
            </w:r>
            <w:r w:rsidR="00F92E71">
              <w:rPr>
                <w:bCs/>
              </w:rPr>
              <w:t>Chris Carroll</w:t>
            </w:r>
            <w:r>
              <w:rPr>
                <w:bCs/>
              </w:rPr>
              <w:t xml:space="preserve">, </w:t>
            </w:r>
            <w:r w:rsidR="00F92E71">
              <w:rPr>
                <w:bCs/>
              </w:rPr>
              <w:t>Private Sector and Landlord Registration Officer</w:t>
            </w:r>
            <w:r w:rsidR="00C6186A">
              <w:rPr>
                <w:bCs/>
              </w:rPr>
              <w:t xml:space="preserve"> for approval and signature before submitting to the supplier.</w:t>
            </w:r>
          </w:p>
          <w:p w14:paraId="193459E4" w14:textId="77777777" w:rsidR="00C60224" w:rsidRDefault="00C60224" w:rsidP="00FF3D65">
            <w:pPr>
              <w:pStyle w:val="NoSpacing"/>
              <w:jc w:val="both"/>
              <w:rPr>
                <w:color w:val="000000"/>
              </w:rPr>
            </w:pPr>
          </w:p>
        </w:tc>
      </w:tr>
      <w:tr w:rsidR="00AF5EAD" w14:paraId="4B346F6C" w14:textId="77777777" w:rsidTr="00AF5EAD">
        <w:tc>
          <w:tcPr>
            <w:tcW w:w="851" w:type="dxa"/>
          </w:tcPr>
          <w:p w14:paraId="0CD67C18" w14:textId="77777777" w:rsidR="00AF5EAD" w:rsidRPr="002A2D73" w:rsidRDefault="00AF5EAD" w:rsidP="00E51981">
            <w:pPr>
              <w:pStyle w:val="NoSpacing"/>
              <w:rPr>
                <w:b/>
                <w:color w:val="000000" w:themeColor="text1"/>
              </w:rPr>
            </w:pPr>
            <w:r w:rsidRPr="002A2D73">
              <w:rPr>
                <w:b/>
                <w:color w:val="000000" w:themeColor="text1"/>
              </w:rPr>
              <w:t>10.0</w:t>
            </w:r>
          </w:p>
          <w:p w14:paraId="4EA5778A" w14:textId="77777777" w:rsidR="00AF5EAD" w:rsidRPr="002A2D73" w:rsidRDefault="00AF5EAD" w:rsidP="00E51981">
            <w:pPr>
              <w:pStyle w:val="NoSpacing"/>
              <w:rPr>
                <w:b/>
                <w:color w:val="000000" w:themeColor="text1"/>
              </w:rPr>
            </w:pPr>
          </w:p>
          <w:p w14:paraId="4E04F3E5" w14:textId="77777777" w:rsidR="00AF5EAD" w:rsidRPr="002A2D73" w:rsidRDefault="00AF5EAD" w:rsidP="00E51981">
            <w:pPr>
              <w:pStyle w:val="NoSpacing"/>
              <w:rPr>
                <w:color w:val="000000" w:themeColor="text1"/>
              </w:rPr>
            </w:pPr>
            <w:r w:rsidRPr="002A2D73">
              <w:rPr>
                <w:color w:val="000000" w:themeColor="text1"/>
              </w:rPr>
              <w:t>10.1</w:t>
            </w:r>
          </w:p>
          <w:p w14:paraId="301922E2" w14:textId="77777777" w:rsidR="00AF5EAD" w:rsidRPr="002A2D73" w:rsidRDefault="00AF5EAD" w:rsidP="00E51981">
            <w:pPr>
              <w:pStyle w:val="NoSpacing"/>
              <w:rPr>
                <w:color w:val="000000" w:themeColor="text1"/>
              </w:rPr>
            </w:pPr>
          </w:p>
          <w:p w14:paraId="195185ED" w14:textId="77777777" w:rsidR="00AF5EAD" w:rsidRPr="002A2D73" w:rsidRDefault="00AF5EAD" w:rsidP="00E51981">
            <w:pPr>
              <w:pStyle w:val="NoSpacing"/>
              <w:rPr>
                <w:color w:val="000000" w:themeColor="text1"/>
              </w:rPr>
            </w:pPr>
          </w:p>
          <w:p w14:paraId="6F455E19" w14:textId="77777777" w:rsidR="00AF5EAD" w:rsidRPr="002A2D73" w:rsidRDefault="00AF5EAD" w:rsidP="00E51981">
            <w:pPr>
              <w:pStyle w:val="NoSpacing"/>
              <w:rPr>
                <w:color w:val="000000" w:themeColor="text1"/>
              </w:rPr>
            </w:pPr>
          </w:p>
          <w:p w14:paraId="1F9DF323" w14:textId="77777777" w:rsidR="00AF5EAD" w:rsidRPr="002A2D73" w:rsidRDefault="00AF5EAD" w:rsidP="00E51981">
            <w:pPr>
              <w:pStyle w:val="NoSpacing"/>
              <w:rPr>
                <w:color w:val="000000" w:themeColor="text1"/>
              </w:rPr>
            </w:pPr>
          </w:p>
          <w:p w14:paraId="56A7AB89" w14:textId="77777777" w:rsidR="00AF5EAD" w:rsidRPr="002A2D73" w:rsidRDefault="00AF5EAD" w:rsidP="00E51981">
            <w:pPr>
              <w:pStyle w:val="NoSpacing"/>
              <w:rPr>
                <w:color w:val="000000" w:themeColor="text1"/>
              </w:rPr>
            </w:pPr>
            <w:r w:rsidRPr="002A2D73">
              <w:rPr>
                <w:color w:val="000000" w:themeColor="text1"/>
              </w:rPr>
              <w:t>10.2</w:t>
            </w:r>
          </w:p>
          <w:p w14:paraId="55EA2BAD" w14:textId="77777777" w:rsidR="00AF5EAD" w:rsidRPr="002A2D73" w:rsidRDefault="00AF5EAD" w:rsidP="00E51981">
            <w:pPr>
              <w:pStyle w:val="NoSpacing"/>
              <w:rPr>
                <w:color w:val="000000" w:themeColor="text1"/>
              </w:rPr>
            </w:pPr>
          </w:p>
          <w:p w14:paraId="247E2B26" w14:textId="77777777" w:rsidR="00AF5EAD" w:rsidRPr="002A2D73" w:rsidRDefault="00AF5EAD" w:rsidP="00E51981">
            <w:pPr>
              <w:pStyle w:val="NoSpacing"/>
              <w:rPr>
                <w:color w:val="000000" w:themeColor="text1"/>
              </w:rPr>
            </w:pPr>
          </w:p>
          <w:p w14:paraId="0C7EEBA2" w14:textId="093C191F" w:rsidR="00AF5EAD" w:rsidRPr="002A2D73" w:rsidRDefault="00AF5EAD" w:rsidP="00E51981">
            <w:pPr>
              <w:pStyle w:val="NoSpacing"/>
              <w:rPr>
                <w:color w:val="000000" w:themeColor="text1"/>
              </w:rPr>
            </w:pPr>
            <w:r w:rsidRPr="002A2D73">
              <w:rPr>
                <w:color w:val="000000" w:themeColor="text1"/>
              </w:rPr>
              <w:t>10.3</w:t>
            </w:r>
          </w:p>
        </w:tc>
        <w:tc>
          <w:tcPr>
            <w:tcW w:w="8505" w:type="dxa"/>
          </w:tcPr>
          <w:p w14:paraId="7C5341DB" w14:textId="77777777" w:rsidR="00AF5EAD" w:rsidRPr="002A2D73" w:rsidRDefault="00AF5EAD" w:rsidP="00BD1EEA">
            <w:pPr>
              <w:pStyle w:val="NoSpacing"/>
              <w:jc w:val="both"/>
              <w:rPr>
                <w:b/>
                <w:bCs/>
                <w:color w:val="000000" w:themeColor="text1"/>
              </w:rPr>
            </w:pPr>
            <w:r w:rsidRPr="002A2D73">
              <w:rPr>
                <w:b/>
                <w:bCs/>
                <w:color w:val="000000" w:themeColor="text1"/>
              </w:rPr>
              <w:t>COVID-19</w:t>
            </w:r>
          </w:p>
          <w:p w14:paraId="5A136D50" w14:textId="77777777" w:rsidR="00AF5EAD" w:rsidRPr="002A2D73" w:rsidRDefault="00AF5EAD" w:rsidP="00BD1EEA">
            <w:pPr>
              <w:pStyle w:val="NoSpacing"/>
              <w:jc w:val="both"/>
              <w:rPr>
                <w:b/>
                <w:bCs/>
                <w:color w:val="000000" w:themeColor="text1"/>
              </w:rPr>
            </w:pPr>
          </w:p>
          <w:p w14:paraId="3D2C4C50" w14:textId="77777777" w:rsidR="00AF5EAD" w:rsidRPr="002A2D73" w:rsidRDefault="00AF5EAD" w:rsidP="00AF5EAD">
            <w:pPr>
              <w:pStyle w:val="NoSpacing"/>
              <w:jc w:val="both"/>
              <w:rPr>
                <w:bCs/>
                <w:color w:val="000000" w:themeColor="text1"/>
              </w:rPr>
            </w:pPr>
            <w:r w:rsidRPr="002A2D73">
              <w:rPr>
                <w:bCs/>
                <w:color w:val="000000" w:themeColor="text1"/>
              </w:rPr>
              <w:t xml:space="preserve">Flexible Eligibility will be delivered in accordance with existing and forthcoming guidance on preventing the spread of COVID 19.  This will be relevant to how households are engaged through this scheme and arrangements will be in place to ensure that measures are installed safely.  </w:t>
            </w:r>
          </w:p>
          <w:p w14:paraId="11DD051A" w14:textId="77777777" w:rsidR="00AF5EAD" w:rsidRPr="002A2D73" w:rsidRDefault="00AF5EAD" w:rsidP="00AF5EAD">
            <w:pPr>
              <w:pStyle w:val="NoSpacing"/>
              <w:jc w:val="both"/>
              <w:rPr>
                <w:bCs/>
                <w:color w:val="000000" w:themeColor="text1"/>
              </w:rPr>
            </w:pPr>
          </w:p>
          <w:p w14:paraId="58291011" w14:textId="05DC7864" w:rsidR="00AF5EAD" w:rsidRPr="002A2D73" w:rsidRDefault="00AF5EAD" w:rsidP="00AF5EAD">
            <w:pPr>
              <w:pStyle w:val="NoSpacing"/>
              <w:jc w:val="both"/>
              <w:rPr>
                <w:bCs/>
                <w:color w:val="000000" w:themeColor="text1"/>
              </w:rPr>
            </w:pPr>
            <w:r w:rsidRPr="002A2D73">
              <w:rPr>
                <w:bCs/>
                <w:color w:val="000000" w:themeColor="text1"/>
              </w:rPr>
              <w:t>Arrangements for the assessment of eligibility for the scheme will adhere to social distancing guidelines as published by Scottish Government and Health Protection Scotland.</w:t>
            </w:r>
          </w:p>
          <w:p w14:paraId="30B4B630" w14:textId="77777777" w:rsidR="00AF5EAD" w:rsidRPr="002A2D73" w:rsidRDefault="00AF5EAD" w:rsidP="00AF5EAD">
            <w:pPr>
              <w:pStyle w:val="NoSpacing"/>
              <w:jc w:val="both"/>
              <w:rPr>
                <w:bCs/>
                <w:color w:val="000000" w:themeColor="text1"/>
              </w:rPr>
            </w:pPr>
          </w:p>
          <w:p w14:paraId="1A4D0BC8" w14:textId="08076821" w:rsidR="00AF5EAD" w:rsidRPr="002A2D73" w:rsidRDefault="00AF5EAD" w:rsidP="00AF5EAD">
            <w:pPr>
              <w:pStyle w:val="NoSpacing"/>
              <w:jc w:val="both"/>
              <w:rPr>
                <w:bCs/>
                <w:color w:val="000000" w:themeColor="text1"/>
              </w:rPr>
            </w:pPr>
            <w:r w:rsidRPr="002A2D73">
              <w:rPr>
                <w:bCs/>
                <w:color w:val="000000" w:themeColor="text1"/>
              </w:rPr>
              <w:t xml:space="preserve">The Council will only make declarations of eligibility, where it believes that appropriate procedures are in place to ensure the safety of the public and those involved in installing measures.  Where a member of the household is shielding/isolating or is in regular contact with someone at extremely high risk of severe illness, </w:t>
            </w:r>
            <w:r w:rsidR="0065240C" w:rsidRPr="002A2D73">
              <w:rPr>
                <w:color w:val="000000" w:themeColor="text1"/>
              </w:rPr>
              <w:t>the Council will not support installation of measures until this can be carried out in a safe manner that complies with national guidance on preventing the spread of COVID 19.</w:t>
            </w:r>
          </w:p>
          <w:p w14:paraId="7C224EC2" w14:textId="798FBCDB" w:rsidR="00AF5EAD" w:rsidRPr="002A2D73" w:rsidRDefault="00AF5EAD" w:rsidP="00AF5EAD">
            <w:pPr>
              <w:pStyle w:val="NoSpacing"/>
              <w:jc w:val="both"/>
              <w:rPr>
                <w:bCs/>
                <w:color w:val="000000" w:themeColor="text1"/>
              </w:rPr>
            </w:pPr>
          </w:p>
        </w:tc>
      </w:tr>
    </w:tbl>
    <w:p w14:paraId="35DC398C" w14:textId="77777777" w:rsidR="00F047EC" w:rsidRDefault="00F047EC" w:rsidP="004336B8">
      <w:pPr>
        <w:pStyle w:val="NoSpacing"/>
        <w:jc w:val="both"/>
        <w:rPr>
          <w:b/>
        </w:rPr>
      </w:pPr>
    </w:p>
    <w:p w14:paraId="60EAA097" w14:textId="77777777" w:rsidR="00F047EC" w:rsidRDefault="00F047EC" w:rsidP="004336B8">
      <w:pPr>
        <w:pStyle w:val="NoSpacing"/>
        <w:jc w:val="both"/>
        <w:rPr>
          <w:b/>
        </w:rPr>
      </w:pPr>
    </w:p>
    <w:p w14:paraId="52A2ACAE" w14:textId="5C987C6F" w:rsidR="00D06021" w:rsidRPr="00D06021" w:rsidRDefault="00D06021" w:rsidP="004336B8">
      <w:pPr>
        <w:pStyle w:val="NoSpacing"/>
        <w:jc w:val="both"/>
        <w:rPr>
          <w:b/>
          <w:bCs/>
          <w:noProof/>
          <w:lang w:eastAsia="en-GB"/>
        </w:rPr>
      </w:pPr>
      <w:r w:rsidRPr="00D06021">
        <w:rPr>
          <w:b/>
          <w:bCs/>
          <w:noProof/>
          <w:lang w:eastAsia="en-GB"/>
        </w:rPr>
        <w:t>Statement of Intent authorisation</w:t>
      </w:r>
    </w:p>
    <w:p w14:paraId="45C760E2" w14:textId="4D4D2528" w:rsidR="00D06021" w:rsidRDefault="00A50350" w:rsidP="004336B8">
      <w:pPr>
        <w:pStyle w:val="NoSpacing"/>
        <w:jc w:val="both"/>
        <w:rPr>
          <w:bCs/>
          <w:noProof/>
          <w:lang w:eastAsia="en-GB"/>
        </w:rPr>
      </w:pPr>
      <w:r w:rsidRPr="009600F3">
        <w:rPr>
          <w:noProof/>
          <w:lang w:eastAsia="en-GB"/>
        </w:rPr>
        <w:drawing>
          <wp:anchor distT="0" distB="0" distL="114300" distR="114300" simplePos="0" relativeHeight="251660288" behindDoc="1" locked="0" layoutInCell="1" allowOverlap="1" wp14:anchorId="18A1602A" wp14:editId="6A485841">
            <wp:simplePos x="0" y="0"/>
            <wp:positionH relativeFrom="column">
              <wp:posOffset>942975</wp:posOffset>
            </wp:positionH>
            <wp:positionV relativeFrom="paragraph">
              <wp:posOffset>13335</wp:posOffset>
            </wp:positionV>
            <wp:extent cx="2296800" cy="716400"/>
            <wp:effectExtent l="0" t="0" r="8255" b="7620"/>
            <wp:wrapNone/>
            <wp:docPr id="3" name="Picture 3"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8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2B708" w14:textId="77777777" w:rsidR="00A50350" w:rsidRDefault="00A50350" w:rsidP="004336B8">
      <w:pPr>
        <w:pStyle w:val="NoSpacing"/>
        <w:jc w:val="both"/>
        <w:rPr>
          <w:bCs/>
          <w:noProof/>
          <w:lang w:eastAsia="en-GB"/>
        </w:rPr>
      </w:pPr>
    </w:p>
    <w:p w14:paraId="0CDC977F" w14:textId="566337DB" w:rsidR="0051151B" w:rsidRPr="00D06021" w:rsidRDefault="0051151B" w:rsidP="004336B8">
      <w:pPr>
        <w:pStyle w:val="NoSpacing"/>
        <w:jc w:val="both"/>
        <w:rPr>
          <w:bCs/>
          <w:noProof/>
          <w:lang w:eastAsia="en-GB"/>
        </w:rPr>
      </w:pPr>
      <w:r w:rsidRPr="00D06021">
        <w:rPr>
          <w:bCs/>
          <w:noProof/>
          <w:lang w:eastAsia="en-GB"/>
        </w:rPr>
        <w:t>Signed:</w:t>
      </w:r>
      <w:r w:rsidR="00A50350" w:rsidRPr="00A50350">
        <w:rPr>
          <w:noProof/>
          <w:lang w:eastAsia="en-GB"/>
        </w:rPr>
        <w:t xml:space="preserve"> </w:t>
      </w:r>
    </w:p>
    <w:p w14:paraId="05AC8B01" w14:textId="6E19A826" w:rsidR="0051151B" w:rsidRDefault="0051151B" w:rsidP="004336B8">
      <w:pPr>
        <w:pStyle w:val="NoSpacing"/>
        <w:jc w:val="both"/>
        <w:rPr>
          <w:bCs/>
          <w:noProof/>
          <w:lang w:eastAsia="en-GB"/>
        </w:rPr>
      </w:pPr>
    </w:p>
    <w:p w14:paraId="6B815034" w14:textId="77777777" w:rsidR="00F047EC" w:rsidRPr="00D06021" w:rsidRDefault="00F047EC" w:rsidP="004336B8">
      <w:pPr>
        <w:pStyle w:val="NoSpacing"/>
        <w:jc w:val="both"/>
        <w:rPr>
          <w:bCs/>
          <w:noProof/>
          <w:lang w:eastAsia="en-GB"/>
        </w:rPr>
      </w:pPr>
    </w:p>
    <w:p w14:paraId="475D4AC1" w14:textId="69320413" w:rsidR="0051151B" w:rsidRPr="00D06021" w:rsidRDefault="0051151B" w:rsidP="004336B8">
      <w:pPr>
        <w:pStyle w:val="NoSpacing"/>
        <w:jc w:val="both"/>
        <w:rPr>
          <w:bCs/>
          <w:noProof/>
          <w:lang w:eastAsia="en-GB"/>
        </w:rPr>
      </w:pPr>
      <w:r w:rsidRPr="00D06021">
        <w:rPr>
          <w:bCs/>
          <w:noProof/>
          <w:lang w:eastAsia="en-GB"/>
        </w:rPr>
        <w:t>Date</w:t>
      </w:r>
      <w:r w:rsidR="00A50350">
        <w:rPr>
          <w:bCs/>
          <w:noProof/>
          <w:lang w:eastAsia="en-GB"/>
        </w:rPr>
        <w:tab/>
      </w:r>
      <w:r w:rsidR="00A50350">
        <w:rPr>
          <w:bCs/>
          <w:noProof/>
          <w:lang w:eastAsia="en-GB"/>
        </w:rPr>
        <w:tab/>
      </w:r>
      <w:r w:rsidR="00BB7293">
        <w:rPr>
          <w:bCs/>
          <w:noProof/>
          <w:lang w:eastAsia="en-GB"/>
        </w:rPr>
        <w:t>4</w:t>
      </w:r>
      <w:r w:rsidR="00A50350" w:rsidRPr="00A50350">
        <w:rPr>
          <w:bCs/>
          <w:noProof/>
          <w:vertAlign w:val="superscript"/>
          <w:lang w:eastAsia="en-GB"/>
        </w:rPr>
        <w:t>th</w:t>
      </w:r>
      <w:r w:rsidR="00A50350">
        <w:rPr>
          <w:bCs/>
          <w:noProof/>
          <w:lang w:eastAsia="en-GB"/>
        </w:rPr>
        <w:t xml:space="preserve"> Janu</w:t>
      </w:r>
      <w:r w:rsidR="00B537F4">
        <w:rPr>
          <w:bCs/>
          <w:noProof/>
          <w:lang w:eastAsia="en-GB"/>
        </w:rPr>
        <w:t>a</w:t>
      </w:r>
      <w:r w:rsidR="00A50350">
        <w:rPr>
          <w:bCs/>
          <w:noProof/>
          <w:lang w:eastAsia="en-GB"/>
        </w:rPr>
        <w:t>ry 2021</w:t>
      </w:r>
    </w:p>
    <w:p w14:paraId="61099A17" w14:textId="77777777" w:rsidR="0051151B" w:rsidRDefault="0051151B" w:rsidP="004336B8">
      <w:pPr>
        <w:pStyle w:val="NoSpacing"/>
        <w:jc w:val="both"/>
        <w:rPr>
          <w:b/>
          <w:bCs/>
          <w:noProof/>
          <w:u w:val="single"/>
          <w:lang w:eastAsia="en-GB"/>
        </w:rPr>
      </w:pPr>
    </w:p>
    <w:p w14:paraId="4869453D" w14:textId="49157515" w:rsidR="0051151B" w:rsidRDefault="0051151B" w:rsidP="004336B8">
      <w:pPr>
        <w:pStyle w:val="NoSpacing"/>
        <w:jc w:val="both"/>
        <w:rPr>
          <w:b/>
          <w:bCs/>
          <w:u w:val="single"/>
        </w:rPr>
      </w:pPr>
    </w:p>
    <w:p w14:paraId="573974DA" w14:textId="7A5DEE83" w:rsidR="00203635" w:rsidRDefault="00203635" w:rsidP="004336B8">
      <w:pPr>
        <w:pStyle w:val="NoSpacing"/>
        <w:jc w:val="both"/>
        <w:rPr>
          <w:b/>
          <w:bCs/>
          <w:u w:val="single"/>
        </w:rPr>
      </w:pPr>
    </w:p>
    <w:p w14:paraId="0094127A" w14:textId="77777777" w:rsidR="00203635" w:rsidRDefault="00203635">
      <w:pPr>
        <w:tabs>
          <w:tab w:val="clear" w:pos="720"/>
          <w:tab w:val="clear" w:pos="1440"/>
          <w:tab w:val="clear" w:pos="2160"/>
          <w:tab w:val="clear" w:pos="2880"/>
          <w:tab w:val="clear" w:pos="9907"/>
        </w:tabs>
        <w:spacing w:after="200" w:line="276" w:lineRule="auto"/>
        <w:rPr>
          <w:rFonts w:asciiTheme="minorHAnsi" w:eastAsiaTheme="minorHAnsi" w:hAnsiTheme="minorHAnsi" w:cstheme="minorBidi"/>
          <w:b/>
          <w:bCs/>
          <w:sz w:val="22"/>
          <w:szCs w:val="22"/>
          <w:u w:val="single"/>
          <w:lang w:eastAsia="en-US"/>
        </w:rPr>
      </w:pPr>
      <w:r>
        <w:rPr>
          <w:b/>
          <w:bCs/>
          <w:u w:val="single"/>
        </w:rPr>
        <w:br w:type="page"/>
      </w:r>
    </w:p>
    <w:p w14:paraId="32B8E60A" w14:textId="1D2E4422" w:rsidR="00203635" w:rsidRDefault="00203635" w:rsidP="004336B8">
      <w:pPr>
        <w:pStyle w:val="NoSpacing"/>
        <w:jc w:val="both"/>
        <w:rPr>
          <w:b/>
          <w:bCs/>
          <w:u w:val="single"/>
        </w:rPr>
      </w:pPr>
      <w:r>
        <w:rPr>
          <w:b/>
          <w:bCs/>
          <w:u w:val="single"/>
        </w:rPr>
        <w:lastRenderedPageBreak/>
        <w:t>ANNEX A</w:t>
      </w:r>
    </w:p>
    <w:p w14:paraId="12F89CAE" w14:textId="669F67E5" w:rsidR="00203635" w:rsidRDefault="00203635" w:rsidP="004336B8">
      <w:pPr>
        <w:pStyle w:val="NoSpacing"/>
        <w:jc w:val="both"/>
        <w:rPr>
          <w:b/>
          <w:bCs/>
          <w:u w:val="single"/>
        </w:rPr>
      </w:pPr>
    </w:p>
    <w:p w14:paraId="0C61AE3C" w14:textId="03EEE00C" w:rsidR="00203635" w:rsidRDefault="00203635" w:rsidP="004336B8">
      <w:pPr>
        <w:pStyle w:val="NoSpacing"/>
        <w:jc w:val="both"/>
        <w:rPr>
          <w:b/>
          <w:bCs/>
          <w:u w:val="single"/>
        </w:rPr>
      </w:pPr>
      <w:r>
        <w:rPr>
          <w:b/>
          <w:bCs/>
          <w:u w:val="single"/>
        </w:rPr>
        <w:t>Fuel Poor – Area Based</w:t>
      </w:r>
    </w:p>
    <w:p w14:paraId="7E15E59A" w14:textId="29163C75" w:rsidR="00203635" w:rsidRDefault="00203635" w:rsidP="004336B8">
      <w:pPr>
        <w:pStyle w:val="NoSpacing"/>
        <w:jc w:val="both"/>
        <w:rPr>
          <w:b/>
          <w:bCs/>
          <w:u w:val="single"/>
        </w:rPr>
      </w:pPr>
    </w:p>
    <w:p w14:paraId="551A238D" w14:textId="1AD8A619" w:rsidR="00203635" w:rsidRDefault="00203635" w:rsidP="00A129DF">
      <w:pPr>
        <w:pStyle w:val="NoSpacing"/>
        <w:jc w:val="both"/>
        <w:rPr>
          <w:bCs/>
        </w:rPr>
      </w:pPr>
      <w:r w:rsidRPr="00203635">
        <w:rPr>
          <w:bCs/>
        </w:rPr>
        <w:t>The data zones</w:t>
      </w:r>
      <w:r w:rsidR="00A129DF">
        <w:rPr>
          <w:bCs/>
        </w:rPr>
        <w:t xml:space="preserve"> noted below</w:t>
      </w:r>
      <w:r w:rsidRPr="00203635">
        <w:rPr>
          <w:bCs/>
        </w:rPr>
        <w:t xml:space="preserve"> </w:t>
      </w:r>
      <w:r w:rsidR="00A129DF">
        <w:rPr>
          <w:bCs/>
        </w:rPr>
        <w:t xml:space="preserve">are in the bottom 5% of the SIMD and experience high levels of deprivation.  These data zones </w:t>
      </w:r>
      <w:r w:rsidRPr="00203635">
        <w:rPr>
          <w:bCs/>
        </w:rPr>
        <w:t>will qualify for Fuel Poor- Area Based Flexible Eligibility</w:t>
      </w:r>
      <w:r w:rsidR="00A129DF">
        <w:rPr>
          <w:bCs/>
        </w:rPr>
        <w:t>.</w:t>
      </w:r>
    </w:p>
    <w:p w14:paraId="42EFF6CC" w14:textId="77777777" w:rsidR="00203635" w:rsidRDefault="00203635" w:rsidP="004336B8">
      <w:pPr>
        <w:pStyle w:val="NoSpacing"/>
        <w:jc w:val="both"/>
        <w:rPr>
          <w:bCs/>
        </w:rPr>
      </w:pPr>
    </w:p>
    <w:p w14:paraId="0F6854C6" w14:textId="2B7FC633" w:rsidR="00203635" w:rsidRDefault="00A129DF" w:rsidP="00203635">
      <w:pPr>
        <w:pStyle w:val="NoSpacing"/>
        <w:numPr>
          <w:ilvl w:val="0"/>
          <w:numId w:val="19"/>
        </w:numPr>
        <w:jc w:val="both"/>
        <w:rPr>
          <w:bCs/>
        </w:rPr>
      </w:pPr>
      <w:r>
        <w:rPr>
          <w:bCs/>
        </w:rPr>
        <w:t>Ayr - S01012490</w:t>
      </w:r>
    </w:p>
    <w:p w14:paraId="5BC818FF" w14:textId="7DAC9B54" w:rsidR="00A129DF" w:rsidRDefault="00A129DF" w:rsidP="00203635">
      <w:pPr>
        <w:pStyle w:val="NoSpacing"/>
        <w:numPr>
          <w:ilvl w:val="0"/>
          <w:numId w:val="19"/>
        </w:numPr>
        <w:jc w:val="both"/>
        <w:rPr>
          <w:bCs/>
        </w:rPr>
      </w:pPr>
      <w:r>
        <w:rPr>
          <w:bCs/>
        </w:rPr>
        <w:t>Ayr - S01012489</w:t>
      </w:r>
    </w:p>
    <w:p w14:paraId="53E814CE" w14:textId="61CFCE43" w:rsidR="00A129DF" w:rsidRDefault="00A129DF" w:rsidP="00203635">
      <w:pPr>
        <w:pStyle w:val="NoSpacing"/>
        <w:numPr>
          <w:ilvl w:val="0"/>
          <w:numId w:val="19"/>
        </w:numPr>
        <w:jc w:val="both"/>
        <w:rPr>
          <w:bCs/>
        </w:rPr>
      </w:pPr>
      <w:r>
        <w:rPr>
          <w:bCs/>
        </w:rPr>
        <w:t>Ayr - S01012491</w:t>
      </w:r>
    </w:p>
    <w:p w14:paraId="096A2D86" w14:textId="7C28DE24" w:rsidR="00A129DF" w:rsidRDefault="00A129DF" w:rsidP="00203635">
      <w:pPr>
        <w:pStyle w:val="NoSpacing"/>
        <w:numPr>
          <w:ilvl w:val="0"/>
          <w:numId w:val="19"/>
        </w:numPr>
        <w:jc w:val="both"/>
        <w:rPr>
          <w:bCs/>
        </w:rPr>
      </w:pPr>
      <w:r>
        <w:rPr>
          <w:bCs/>
        </w:rPr>
        <w:t>Ayr - S01012492</w:t>
      </w:r>
    </w:p>
    <w:p w14:paraId="31355017" w14:textId="2D73801E" w:rsidR="00A129DF" w:rsidRDefault="00A129DF" w:rsidP="00203635">
      <w:pPr>
        <w:pStyle w:val="NoSpacing"/>
        <w:numPr>
          <w:ilvl w:val="0"/>
          <w:numId w:val="19"/>
        </w:numPr>
        <w:jc w:val="both"/>
        <w:rPr>
          <w:bCs/>
        </w:rPr>
      </w:pPr>
      <w:r>
        <w:rPr>
          <w:noProof/>
          <w:lang w:eastAsia="en-GB"/>
        </w:rPr>
        <w:drawing>
          <wp:anchor distT="0" distB="0" distL="114300" distR="114300" simplePos="0" relativeHeight="251659264" behindDoc="0" locked="0" layoutInCell="1" allowOverlap="1" wp14:anchorId="06D8247F" wp14:editId="3FCA638D">
            <wp:simplePos x="0" y="0"/>
            <wp:positionH relativeFrom="column">
              <wp:posOffset>1885950</wp:posOffset>
            </wp:positionH>
            <wp:positionV relativeFrom="paragraph">
              <wp:posOffset>162560</wp:posOffset>
            </wp:positionV>
            <wp:extent cx="4277360" cy="3362325"/>
            <wp:effectExtent l="152400" t="152400" r="370840" b="3714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77360" cy="3362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Cs/>
        </w:rPr>
        <w:t>Ayr - S01012502</w:t>
      </w:r>
    </w:p>
    <w:p w14:paraId="7AF0DC77" w14:textId="659208F0" w:rsidR="00A129DF" w:rsidRDefault="00A129DF" w:rsidP="00203635">
      <w:pPr>
        <w:pStyle w:val="NoSpacing"/>
        <w:numPr>
          <w:ilvl w:val="0"/>
          <w:numId w:val="19"/>
        </w:numPr>
        <w:jc w:val="both"/>
        <w:rPr>
          <w:bCs/>
        </w:rPr>
      </w:pPr>
      <w:r>
        <w:rPr>
          <w:bCs/>
        </w:rPr>
        <w:t>Ayr - S01012503</w:t>
      </w:r>
    </w:p>
    <w:p w14:paraId="6A213664" w14:textId="4B80F63E" w:rsidR="00A129DF" w:rsidRDefault="00A129DF" w:rsidP="00203635">
      <w:pPr>
        <w:pStyle w:val="NoSpacing"/>
        <w:numPr>
          <w:ilvl w:val="0"/>
          <w:numId w:val="19"/>
        </w:numPr>
        <w:jc w:val="both"/>
        <w:rPr>
          <w:bCs/>
        </w:rPr>
      </w:pPr>
      <w:r>
        <w:rPr>
          <w:bCs/>
        </w:rPr>
        <w:t>Ayr - S01012501</w:t>
      </w:r>
    </w:p>
    <w:p w14:paraId="2C7C29D4" w14:textId="3610A94C" w:rsidR="00A129DF" w:rsidRDefault="00A129DF" w:rsidP="00203635">
      <w:pPr>
        <w:pStyle w:val="NoSpacing"/>
        <w:numPr>
          <w:ilvl w:val="0"/>
          <w:numId w:val="19"/>
        </w:numPr>
        <w:jc w:val="both"/>
        <w:rPr>
          <w:bCs/>
        </w:rPr>
      </w:pPr>
      <w:r>
        <w:rPr>
          <w:bCs/>
        </w:rPr>
        <w:t>Ayr - S01012496</w:t>
      </w:r>
    </w:p>
    <w:p w14:paraId="1C55D6F5" w14:textId="1718D936" w:rsidR="00A129DF" w:rsidRDefault="00A129DF" w:rsidP="00203635">
      <w:pPr>
        <w:pStyle w:val="NoSpacing"/>
        <w:numPr>
          <w:ilvl w:val="0"/>
          <w:numId w:val="19"/>
        </w:numPr>
        <w:jc w:val="both"/>
        <w:rPr>
          <w:bCs/>
        </w:rPr>
      </w:pPr>
      <w:r>
        <w:rPr>
          <w:bCs/>
        </w:rPr>
        <w:t>Ayr - S01012497</w:t>
      </w:r>
    </w:p>
    <w:p w14:paraId="1B6F72B0" w14:textId="1BE8C006" w:rsidR="00A129DF" w:rsidRDefault="00A129DF" w:rsidP="00203635">
      <w:pPr>
        <w:pStyle w:val="NoSpacing"/>
        <w:numPr>
          <w:ilvl w:val="0"/>
          <w:numId w:val="19"/>
        </w:numPr>
        <w:jc w:val="both"/>
        <w:rPr>
          <w:bCs/>
        </w:rPr>
      </w:pPr>
      <w:r>
        <w:rPr>
          <w:bCs/>
        </w:rPr>
        <w:t>Ayr - S01012498</w:t>
      </w:r>
    </w:p>
    <w:p w14:paraId="4461E095" w14:textId="09897A36" w:rsidR="00A129DF" w:rsidRDefault="00A129DF" w:rsidP="00203635">
      <w:pPr>
        <w:pStyle w:val="NoSpacing"/>
        <w:numPr>
          <w:ilvl w:val="0"/>
          <w:numId w:val="19"/>
        </w:numPr>
        <w:jc w:val="both"/>
        <w:rPr>
          <w:bCs/>
        </w:rPr>
      </w:pPr>
      <w:r>
        <w:rPr>
          <w:bCs/>
        </w:rPr>
        <w:t>Girvan - S01012425</w:t>
      </w:r>
    </w:p>
    <w:p w14:paraId="41620B30" w14:textId="45A918CC" w:rsidR="00A129DF" w:rsidRDefault="00A129DF" w:rsidP="00203635">
      <w:pPr>
        <w:pStyle w:val="NoSpacing"/>
        <w:numPr>
          <w:ilvl w:val="0"/>
          <w:numId w:val="19"/>
        </w:numPr>
        <w:jc w:val="both"/>
        <w:rPr>
          <w:bCs/>
        </w:rPr>
      </w:pPr>
      <w:r>
        <w:rPr>
          <w:bCs/>
        </w:rPr>
        <w:t>Girvan - S01012426</w:t>
      </w:r>
    </w:p>
    <w:p w14:paraId="455024CD" w14:textId="20B52FE5" w:rsidR="00A129DF" w:rsidRDefault="00A129DF" w:rsidP="00A129DF">
      <w:pPr>
        <w:pStyle w:val="NoSpacing"/>
        <w:ind w:left="360"/>
        <w:jc w:val="both"/>
        <w:rPr>
          <w:bCs/>
        </w:rPr>
      </w:pPr>
    </w:p>
    <w:p w14:paraId="3CAAA1D4" w14:textId="2B024477" w:rsidR="00A129DF" w:rsidRPr="00203635" w:rsidRDefault="00A129DF" w:rsidP="00A129DF">
      <w:pPr>
        <w:pStyle w:val="NoSpacing"/>
        <w:ind w:left="360"/>
        <w:jc w:val="both"/>
        <w:rPr>
          <w:bCs/>
        </w:rPr>
      </w:pPr>
      <w:r>
        <w:rPr>
          <w:noProof/>
          <w:lang w:eastAsia="en-GB"/>
        </w:rPr>
        <w:drawing>
          <wp:anchor distT="0" distB="0" distL="114300" distR="114300" simplePos="0" relativeHeight="251658240" behindDoc="0" locked="0" layoutInCell="1" allowOverlap="1" wp14:anchorId="2D41D697" wp14:editId="1F6216F6">
            <wp:simplePos x="0" y="0"/>
            <wp:positionH relativeFrom="column">
              <wp:posOffset>-190500</wp:posOffset>
            </wp:positionH>
            <wp:positionV relativeFrom="paragraph">
              <wp:posOffset>2094865</wp:posOffset>
            </wp:positionV>
            <wp:extent cx="4362450" cy="3702685"/>
            <wp:effectExtent l="152400" t="152400" r="361950" b="3549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62450" cy="37026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sectPr w:rsidR="00A129DF" w:rsidRPr="00203635" w:rsidSect="00E519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B7FC0" w14:textId="77777777" w:rsidR="002C5F3E" w:rsidRDefault="002C5F3E" w:rsidP="00E51981">
      <w:r>
        <w:separator/>
      </w:r>
    </w:p>
  </w:endnote>
  <w:endnote w:type="continuationSeparator" w:id="0">
    <w:p w14:paraId="7D0032EF" w14:textId="77777777" w:rsidR="002C5F3E" w:rsidRDefault="002C5F3E" w:rsidP="00E5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31C3" w14:textId="77777777" w:rsidR="00D82C29" w:rsidRDefault="00D8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05E2" w14:textId="77777777" w:rsidR="00D82C29" w:rsidRDefault="00D82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DAF5" w14:textId="77777777" w:rsidR="00D82C29" w:rsidRDefault="00D8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2573A" w14:textId="77777777" w:rsidR="002C5F3E" w:rsidRDefault="002C5F3E" w:rsidP="00E51981">
      <w:r>
        <w:separator/>
      </w:r>
    </w:p>
  </w:footnote>
  <w:footnote w:type="continuationSeparator" w:id="0">
    <w:p w14:paraId="77CAE5B3" w14:textId="77777777" w:rsidR="002C5F3E" w:rsidRDefault="002C5F3E" w:rsidP="00E51981">
      <w:r>
        <w:continuationSeparator/>
      </w:r>
    </w:p>
  </w:footnote>
  <w:footnote w:id="1">
    <w:p w14:paraId="66E8F589" w14:textId="38661697" w:rsidR="00D55C90" w:rsidRDefault="00D55C90">
      <w:pPr>
        <w:pStyle w:val="FootnoteText"/>
      </w:pPr>
      <w:r>
        <w:rPr>
          <w:rStyle w:val="FootnoteReference"/>
        </w:rPr>
        <w:footnoteRef/>
      </w:r>
      <w:r>
        <w:t xml:space="preserve"> OfGEM (2018). </w:t>
      </w:r>
      <w:r w:rsidRPr="00D55C90">
        <w:rPr>
          <w:i/>
        </w:rPr>
        <w:t>Energy Company Obligation (ECO3) Guidance: Delivery Version 1</w:t>
      </w:r>
    </w:p>
  </w:footnote>
  <w:footnote w:id="2">
    <w:p w14:paraId="052DEAAB" w14:textId="7293257B" w:rsidR="00FF3D65" w:rsidRPr="00A72C74" w:rsidRDefault="00FF3D65" w:rsidP="002F60E3">
      <w:pPr>
        <w:pStyle w:val="FootnoteText"/>
        <w:rPr>
          <w:rFonts w:cs="Arial"/>
        </w:rPr>
      </w:pPr>
      <w:r w:rsidRPr="00A72C74">
        <w:rPr>
          <w:rStyle w:val="FootnoteReference"/>
          <w:rFonts w:cs="Arial"/>
        </w:rPr>
        <w:footnoteRef/>
      </w:r>
      <w:r w:rsidRPr="00A72C74">
        <w:rPr>
          <w:rFonts w:cs="Arial"/>
        </w:rPr>
        <w:t xml:space="preserve"> </w:t>
      </w:r>
      <w:r w:rsidR="002F60E3">
        <w:rPr>
          <w:rFonts w:cs="Arial"/>
        </w:rPr>
        <w:t>South Ayrshire Council</w:t>
      </w:r>
      <w:r w:rsidR="00A72C74" w:rsidRPr="00A72C74">
        <w:rPr>
          <w:rFonts w:cs="Arial"/>
          <w:color w:val="212529"/>
          <w:shd w:val="clear" w:color="auto" w:fill="FFFFFF"/>
        </w:rPr>
        <w:t xml:space="preserve"> </w:t>
      </w:r>
      <w:r w:rsidR="002F60E3">
        <w:rPr>
          <w:rFonts w:cs="Arial"/>
          <w:color w:val="212529"/>
          <w:shd w:val="clear" w:color="auto" w:fill="FFFFFF"/>
        </w:rPr>
        <w:t xml:space="preserve">(2017). </w:t>
      </w:r>
      <w:r w:rsidR="002F60E3" w:rsidRPr="002F60E3">
        <w:rPr>
          <w:rFonts w:cs="Arial"/>
          <w:i/>
          <w:color w:val="212529"/>
          <w:shd w:val="clear" w:color="auto" w:fill="FFFFFF"/>
        </w:rPr>
        <w:t>Local Housing Strategy 2017-22</w:t>
      </w:r>
    </w:p>
    <w:p w14:paraId="4D906183" w14:textId="77777777" w:rsidR="00FF3D65" w:rsidRDefault="00FF3D65" w:rsidP="00FF3D65">
      <w:pPr>
        <w:pStyle w:val="FootnoteText"/>
      </w:pPr>
    </w:p>
  </w:footnote>
  <w:footnote w:id="3">
    <w:p w14:paraId="22A326ED" w14:textId="77777777" w:rsidR="00D55C90" w:rsidRDefault="00D55C90" w:rsidP="00D55C90">
      <w:pPr>
        <w:pStyle w:val="FootnoteText"/>
      </w:pPr>
      <w:r>
        <w:rPr>
          <w:rStyle w:val="FootnoteReference"/>
        </w:rPr>
        <w:footnoteRef/>
      </w:r>
      <w:r>
        <w:t xml:space="preserve"> OfGEM (2018). </w:t>
      </w:r>
      <w:r w:rsidRPr="00D55C90">
        <w:rPr>
          <w:i/>
        </w:rPr>
        <w:t>Energy Company Obligation (ECO3) Guidance: Delivery Version 1</w:t>
      </w:r>
    </w:p>
    <w:p w14:paraId="2D02E277" w14:textId="175B3F96" w:rsidR="00D55C90" w:rsidRDefault="00D55C90">
      <w:pPr>
        <w:pStyle w:val="FootnoteText"/>
      </w:pPr>
    </w:p>
  </w:footnote>
  <w:footnote w:id="4">
    <w:p w14:paraId="083C412B" w14:textId="4B16E806" w:rsidR="00D55C90" w:rsidRDefault="00D55C90">
      <w:pPr>
        <w:pStyle w:val="FootnoteText"/>
      </w:pPr>
      <w:r>
        <w:rPr>
          <w:rStyle w:val="FootnoteReference"/>
        </w:rPr>
        <w:footnoteRef/>
      </w:r>
      <w:r>
        <w:t xml:space="preserve"> OfGEM (2018). </w:t>
      </w:r>
      <w:r w:rsidRPr="00D55C90">
        <w:rPr>
          <w:i/>
        </w:rPr>
        <w:t>Energy Company Obligation (ECO3) Guidance: Delivery Version 1</w:t>
      </w:r>
    </w:p>
  </w:footnote>
  <w:footnote w:id="5">
    <w:p w14:paraId="46BDF4C6" w14:textId="53EB101F" w:rsidR="00A72C74" w:rsidRPr="00A72C74" w:rsidRDefault="00A72C74">
      <w:pPr>
        <w:pStyle w:val="FootnoteText"/>
      </w:pPr>
      <w:r>
        <w:rPr>
          <w:rStyle w:val="FootnoteReference"/>
        </w:rPr>
        <w:footnoteRef/>
      </w:r>
      <w:r>
        <w:t xml:space="preserve"> Scottish Government National Statistics (2018). </w:t>
      </w:r>
      <w:r>
        <w:rPr>
          <w:i/>
        </w:rPr>
        <w:t xml:space="preserve">Poverty and Income Inequality in Scotland 2014-17. </w:t>
      </w:r>
      <w:r>
        <w:t>Published 22 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73673" w14:textId="5FCC9470" w:rsidR="00D82C29" w:rsidRDefault="00D8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1944" w14:textId="46677DE7" w:rsidR="00D82C29" w:rsidRDefault="00D8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F346" w14:textId="3F05E26F" w:rsidR="00E51981" w:rsidRPr="00E51981" w:rsidRDefault="00985D4E" w:rsidP="00E51981">
    <w:pPr>
      <w:pStyle w:val="NoSpacing"/>
      <w:rPr>
        <w:b/>
        <w:sz w:val="20"/>
      </w:rPr>
    </w:pPr>
    <w:r>
      <w:rPr>
        <w:b/>
        <w:sz w:val="20"/>
      </w:rPr>
      <w:t>Energy Company Obligation 2018-22</w:t>
    </w:r>
    <w:r w:rsidR="00E51981" w:rsidRPr="00E51981">
      <w:rPr>
        <w:b/>
        <w:sz w:val="20"/>
      </w:rPr>
      <w:t xml:space="preserve"> </w:t>
    </w:r>
  </w:p>
  <w:p w14:paraId="1F028ACA" w14:textId="77777777" w:rsidR="00E51981" w:rsidRPr="00E51981" w:rsidRDefault="00E51981" w:rsidP="00E51981">
    <w:pPr>
      <w:pStyle w:val="NoSpacing"/>
      <w:rPr>
        <w:b/>
        <w:sz w:val="20"/>
      </w:rPr>
    </w:pPr>
    <w:r w:rsidRPr="00E51981">
      <w:rPr>
        <w:b/>
        <w:sz w:val="20"/>
      </w:rPr>
      <w:t xml:space="preserve">Flexible Eligibility </w:t>
    </w:r>
  </w:p>
  <w:p w14:paraId="3F933BD4" w14:textId="77777777" w:rsidR="00E51981" w:rsidRDefault="00E5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820"/>
    <w:multiLevelType w:val="hybridMultilevel"/>
    <w:tmpl w:val="20FE0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679F"/>
    <w:multiLevelType w:val="hybridMultilevel"/>
    <w:tmpl w:val="457C13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672D3"/>
    <w:multiLevelType w:val="hybridMultilevel"/>
    <w:tmpl w:val="944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5C82"/>
    <w:multiLevelType w:val="hybridMultilevel"/>
    <w:tmpl w:val="3E6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77EE"/>
    <w:multiLevelType w:val="hybridMultilevel"/>
    <w:tmpl w:val="8F1E08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3230"/>
    <w:multiLevelType w:val="hybridMultilevel"/>
    <w:tmpl w:val="D766E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13CD8"/>
    <w:multiLevelType w:val="hybridMultilevel"/>
    <w:tmpl w:val="F606D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45F40"/>
    <w:multiLevelType w:val="hybridMultilevel"/>
    <w:tmpl w:val="C17C5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C3357"/>
    <w:multiLevelType w:val="hybridMultilevel"/>
    <w:tmpl w:val="20FE0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232EF"/>
    <w:multiLevelType w:val="hybridMultilevel"/>
    <w:tmpl w:val="163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5597C"/>
    <w:multiLevelType w:val="hybridMultilevel"/>
    <w:tmpl w:val="68DA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31C71"/>
    <w:multiLevelType w:val="hybridMultilevel"/>
    <w:tmpl w:val="9E50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85D94"/>
    <w:multiLevelType w:val="hybridMultilevel"/>
    <w:tmpl w:val="A2D0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250AE"/>
    <w:multiLevelType w:val="hybridMultilevel"/>
    <w:tmpl w:val="C3262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E5D2B"/>
    <w:multiLevelType w:val="hybridMultilevel"/>
    <w:tmpl w:val="0614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847F4"/>
    <w:multiLevelType w:val="multilevel"/>
    <w:tmpl w:val="3CC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D2485"/>
    <w:multiLevelType w:val="hybridMultilevel"/>
    <w:tmpl w:val="669C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274CC"/>
    <w:multiLevelType w:val="hybridMultilevel"/>
    <w:tmpl w:val="65504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F24ACC"/>
    <w:multiLevelType w:val="hybridMultilevel"/>
    <w:tmpl w:val="5A9A1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7"/>
  </w:num>
  <w:num w:numId="4">
    <w:abstractNumId w:val="14"/>
  </w:num>
  <w:num w:numId="5">
    <w:abstractNumId w:val="10"/>
  </w:num>
  <w:num w:numId="6">
    <w:abstractNumId w:val="1"/>
  </w:num>
  <w:num w:numId="7">
    <w:abstractNumId w:val="11"/>
  </w:num>
  <w:num w:numId="8">
    <w:abstractNumId w:val="2"/>
  </w:num>
  <w:num w:numId="9">
    <w:abstractNumId w:val="8"/>
  </w:num>
  <w:num w:numId="10">
    <w:abstractNumId w:val="16"/>
  </w:num>
  <w:num w:numId="11">
    <w:abstractNumId w:val="0"/>
  </w:num>
  <w:num w:numId="12">
    <w:abstractNumId w:val="15"/>
  </w:num>
  <w:num w:numId="13">
    <w:abstractNumId w:val="3"/>
  </w:num>
  <w:num w:numId="14">
    <w:abstractNumId w:val="12"/>
  </w:num>
  <w:num w:numId="15">
    <w:abstractNumId w:val="18"/>
  </w:num>
  <w:num w:numId="16">
    <w:abstractNumId w:val="13"/>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CA"/>
    <w:rsid w:val="000759A4"/>
    <w:rsid w:val="000D525D"/>
    <w:rsid w:val="00150B67"/>
    <w:rsid w:val="00202F73"/>
    <w:rsid w:val="00203635"/>
    <w:rsid w:val="002105AA"/>
    <w:rsid w:val="00212EE7"/>
    <w:rsid w:val="0021580E"/>
    <w:rsid w:val="00233D27"/>
    <w:rsid w:val="00240C07"/>
    <w:rsid w:val="00267DC9"/>
    <w:rsid w:val="002A2BD0"/>
    <w:rsid w:val="002A2D73"/>
    <w:rsid w:val="002A5C41"/>
    <w:rsid w:val="002C5F3E"/>
    <w:rsid w:val="002E36EB"/>
    <w:rsid w:val="002E5198"/>
    <w:rsid w:val="002E7FD3"/>
    <w:rsid w:val="002F60E3"/>
    <w:rsid w:val="00310814"/>
    <w:rsid w:val="00315163"/>
    <w:rsid w:val="003532DE"/>
    <w:rsid w:val="00386A2D"/>
    <w:rsid w:val="003D5764"/>
    <w:rsid w:val="003F5B41"/>
    <w:rsid w:val="00406078"/>
    <w:rsid w:val="004137D8"/>
    <w:rsid w:val="00424A03"/>
    <w:rsid w:val="004336B8"/>
    <w:rsid w:val="00450027"/>
    <w:rsid w:val="00487003"/>
    <w:rsid w:val="004961B2"/>
    <w:rsid w:val="004D6B27"/>
    <w:rsid w:val="0051151B"/>
    <w:rsid w:val="00592EA2"/>
    <w:rsid w:val="0063412C"/>
    <w:rsid w:val="00637704"/>
    <w:rsid w:val="0065240C"/>
    <w:rsid w:val="00655866"/>
    <w:rsid w:val="006C0B4A"/>
    <w:rsid w:val="006D1E56"/>
    <w:rsid w:val="006F3880"/>
    <w:rsid w:val="00703EEE"/>
    <w:rsid w:val="00704875"/>
    <w:rsid w:val="00705220"/>
    <w:rsid w:val="007640A2"/>
    <w:rsid w:val="00795C23"/>
    <w:rsid w:val="0083203E"/>
    <w:rsid w:val="00845DCA"/>
    <w:rsid w:val="0088287F"/>
    <w:rsid w:val="008F04EA"/>
    <w:rsid w:val="00932231"/>
    <w:rsid w:val="00950E57"/>
    <w:rsid w:val="00985D4E"/>
    <w:rsid w:val="00987016"/>
    <w:rsid w:val="00A129DF"/>
    <w:rsid w:val="00A50350"/>
    <w:rsid w:val="00A60307"/>
    <w:rsid w:val="00A72C74"/>
    <w:rsid w:val="00AC3E0F"/>
    <w:rsid w:val="00AC680E"/>
    <w:rsid w:val="00AE6CE4"/>
    <w:rsid w:val="00AF5EAD"/>
    <w:rsid w:val="00B537F4"/>
    <w:rsid w:val="00B74885"/>
    <w:rsid w:val="00B81D26"/>
    <w:rsid w:val="00BB7293"/>
    <w:rsid w:val="00BD1EEA"/>
    <w:rsid w:val="00BE2599"/>
    <w:rsid w:val="00C20493"/>
    <w:rsid w:val="00C33B63"/>
    <w:rsid w:val="00C36689"/>
    <w:rsid w:val="00C37261"/>
    <w:rsid w:val="00C551E8"/>
    <w:rsid w:val="00C60224"/>
    <w:rsid w:val="00C6186A"/>
    <w:rsid w:val="00C85122"/>
    <w:rsid w:val="00CB0431"/>
    <w:rsid w:val="00CE1EE3"/>
    <w:rsid w:val="00CE559D"/>
    <w:rsid w:val="00D04CAF"/>
    <w:rsid w:val="00D06021"/>
    <w:rsid w:val="00D23B50"/>
    <w:rsid w:val="00D4557D"/>
    <w:rsid w:val="00D46DF9"/>
    <w:rsid w:val="00D533AA"/>
    <w:rsid w:val="00D55C90"/>
    <w:rsid w:val="00D6611A"/>
    <w:rsid w:val="00D743A9"/>
    <w:rsid w:val="00D82C29"/>
    <w:rsid w:val="00D868B3"/>
    <w:rsid w:val="00DA55D5"/>
    <w:rsid w:val="00E0396C"/>
    <w:rsid w:val="00E0508C"/>
    <w:rsid w:val="00E12531"/>
    <w:rsid w:val="00E51981"/>
    <w:rsid w:val="00E619D8"/>
    <w:rsid w:val="00E63824"/>
    <w:rsid w:val="00E64D8F"/>
    <w:rsid w:val="00E778A9"/>
    <w:rsid w:val="00EA1314"/>
    <w:rsid w:val="00EC28FD"/>
    <w:rsid w:val="00ED5B9D"/>
    <w:rsid w:val="00EF276D"/>
    <w:rsid w:val="00EF3926"/>
    <w:rsid w:val="00F00BC2"/>
    <w:rsid w:val="00F047EC"/>
    <w:rsid w:val="00F92E71"/>
    <w:rsid w:val="00FC74D6"/>
    <w:rsid w:val="00FF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C547"/>
  <w15:docId w15:val="{97D1EB42-5E8E-495B-BC40-67C605CC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AF"/>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981"/>
    <w:pPr>
      <w:spacing w:after="0" w:line="240" w:lineRule="auto"/>
    </w:pPr>
  </w:style>
  <w:style w:type="paragraph" w:styleId="Header">
    <w:name w:val="header"/>
    <w:basedOn w:val="Normal"/>
    <w:link w:val="HeaderChar"/>
    <w:unhideWhenUsed/>
    <w:rsid w:val="00E51981"/>
    <w:pPr>
      <w:tabs>
        <w:tab w:val="clear" w:pos="720"/>
        <w:tab w:val="clear" w:pos="1440"/>
        <w:tab w:val="clear" w:pos="2160"/>
        <w:tab w:val="clear" w:pos="2880"/>
        <w:tab w:val="clear" w:pos="9907"/>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51981"/>
  </w:style>
  <w:style w:type="paragraph" w:styleId="Footer">
    <w:name w:val="footer"/>
    <w:basedOn w:val="Normal"/>
    <w:link w:val="FooterChar"/>
    <w:uiPriority w:val="99"/>
    <w:unhideWhenUsed/>
    <w:rsid w:val="00E51981"/>
    <w:pPr>
      <w:tabs>
        <w:tab w:val="clear" w:pos="720"/>
        <w:tab w:val="clear" w:pos="1440"/>
        <w:tab w:val="clear" w:pos="2160"/>
        <w:tab w:val="clear" w:pos="2880"/>
        <w:tab w:val="clear" w:pos="9907"/>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51981"/>
  </w:style>
  <w:style w:type="paragraph" w:customStyle="1" w:styleId="Default">
    <w:name w:val="Default"/>
    <w:basedOn w:val="Normal"/>
    <w:rsid w:val="00D04CAF"/>
    <w:pPr>
      <w:tabs>
        <w:tab w:val="clear" w:pos="720"/>
        <w:tab w:val="clear" w:pos="1440"/>
        <w:tab w:val="clear" w:pos="2160"/>
        <w:tab w:val="clear" w:pos="2880"/>
        <w:tab w:val="clear" w:pos="9907"/>
      </w:tabs>
      <w:autoSpaceDE w:val="0"/>
      <w:autoSpaceDN w:val="0"/>
    </w:pPr>
    <w:rPr>
      <w:rFonts w:ascii="Calibri" w:eastAsia="Calibri" w:hAnsi="Calibri"/>
      <w:color w:val="000000"/>
      <w:lang w:eastAsia="en-US"/>
    </w:rPr>
  </w:style>
  <w:style w:type="paragraph" w:styleId="ListParagraph">
    <w:name w:val="List Paragraph"/>
    <w:basedOn w:val="Normal"/>
    <w:uiPriority w:val="34"/>
    <w:qFormat/>
    <w:rsid w:val="00406078"/>
    <w:pPr>
      <w:ind w:left="720"/>
      <w:contextualSpacing/>
    </w:pPr>
  </w:style>
  <w:style w:type="paragraph" w:styleId="BalloonText">
    <w:name w:val="Balloon Text"/>
    <w:basedOn w:val="Normal"/>
    <w:link w:val="BalloonTextChar"/>
    <w:uiPriority w:val="99"/>
    <w:semiHidden/>
    <w:unhideWhenUsed/>
    <w:rsid w:val="00EF3926"/>
    <w:rPr>
      <w:rFonts w:ascii="Tahoma" w:hAnsi="Tahoma" w:cs="Tahoma"/>
      <w:sz w:val="16"/>
      <w:szCs w:val="16"/>
    </w:rPr>
  </w:style>
  <w:style w:type="character" w:customStyle="1" w:styleId="BalloonTextChar">
    <w:name w:val="Balloon Text Char"/>
    <w:basedOn w:val="DefaultParagraphFont"/>
    <w:link w:val="BalloonText"/>
    <w:uiPriority w:val="99"/>
    <w:semiHidden/>
    <w:rsid w:val="00EF3926"/>
    <w:rPr>
      <w:rFonts w:ascii="Tahoma" w:eastAsia="Times New Roman" w:hAnsi="Tahoma" w:cs="Tahoma"/>
      <w:sz w:val="16"/>
      <w:szCs w:val="16"/>
      <w:lang w:eastAsia="en-GB"/>
    </w:rPr>
  </w:style>
  <w:style w:type="character" w:styleId="Hyperlink">
    <w:name w:val="Hyperlink"/>
    <w:basedOn w:val="DefaultParagraphFont"/>
    <w:uiPriority w:val="99"/>
    <w:unhideWhenUsed/>
    <w:rsid w:val="002A2BD0"/>
    <w:rPr>
      <w:color w:val="0000FF" w:themeColor="hyperlink"/>
      <w:u w:val="single"/>
    </w:rPr>
  </w:style>
  <w:style w:type="table" w:styleId="TableGrid">
    <w:name w:val="Table Grid"/>
    <w:basedOn w:val="TableNormal"/>
    <w:uiPriority w:val="59"/>
    <w:rsid w:val="0070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8287F"/>
    <w:rPr>
      <w:sz w:val="20"/>
      <w:szCs w:val="20"/>
    </w:rPr>
  </w:style>
  <w:style w:type="character" w:customStyle="1" w:styleId="FootnoteTextChar">
    <w:name w:val="Footnote Text Char"/>
    <w:basedOn w:val="DefaultParagraphFont"/>
    <w:link w:val="FootnoteText"/>
    <w:uiPriority w:val="99"/>
    <w:rsid w:val="0088287F"/>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88287F"/>
    <w:rPr>
      <w:vertAlign w:val="superscript"/>
    </w:rPr>
  </w:style>
  <w:style w:type="paragraph" w:styleId="NormalWeb">
    <w:name w:val="Normal (Web)"/>
    <w:basedOn w:val="Normal"/>
    <w:uiPriority w:val="99"/>
    <w:semiHidden/>
    <w:unhideWhenUsed/>
    <w:rsid w:val="007640A2"/>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655866"/>
    <w:rPr>
      <w:sz w:val="16"/>
      <w:szCs w:val="16"/>
    </w:rPr>
  </w:style>
  <w:style w:type="paragraph" w:styleId="CommentText">
    <w:name w:val="annotation text"/>
    <w:basedOn w:val="Normal"/>
    <w:link w:val="CommentTextChar"/>
    <w:uiPriority w:val="99"/>
    <w:semiHidden/>
    <w:unhideWhenUsed/>
    <w:rsid w:val="00655866"/>
    <w:rPr>
      <w:sz w:val="20"/>
      <w:szCs w:val="20"/>
    </w:rPr>
  </w:style>
  <w:style w:type="character" w:customStyle="1" w:styleId="CommentTextChar">
    <w:name w:val="Comment Text Char"/>
    <w:basedOn w:val="DefaultParagraphFont"/>
    <w:link w:val="CommentText"/>
    <w:uiPriority w:val="99"/>
    <w:semiHidden/>
    <w:rsid w:val="0065586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866"/>
    <w:rPr>
      <w:b/>
      <w:bCs/>
    </w:rPr>
  </w:style>
  <w:style w:type="character" w:customStyle="1" w:styleId="CommentSubjectChar">
    <w:name w:val="Comment Subject Char"/>
    <w:basedOn w:val="CommentTextChar"/>
    <w:link w:val="CommentSubject"/>
    <w:uiPriority w:val="99"/>
    <w:semiHidden/>
    <w:rsid w:val="00655866"/>
    <w:rPr>
      <w:rFonts w:ascii="Arial" w:eastAsia="Times New Roman" w:hAnsi="Arial" w:cs="Times New Roman"/>
      <w:b/>
      <w:bCs/>
      <w:sz w:val="20"/>
      <w:szCs w:val="20"/>
      <w:lang w:eastAsia="en-GB"/>
    </w:rPr>
  </w:style>
  <w:style w:type="paragraph" w:styleId="Revision">
    <w:name w:val="Revision"/>
    <w:hidden/>
    <w:uiPriority w:val="99"/>
    <w:semiHidden/>
    <w:rsid w:val="00315163"/>
    <w:pPr>
      <w:spacing w:after="0" w:line="240" w:lineRule="auto"/>
    </w:pPr>
    <w:rPr>
      <w:rFonts w:ascii="Arial" w:eastAsia="Times New Roman" w:hAnsi="Arial" w:cs="Times New Roman"/>
      <w:sz w:val="24"/>
      <w:szCs w:val="24"/>
      <w:lang w:eastAsia="en-GB"/>
    </w:rPr>
  </w:style>
  <w:style w:type="character" w:styleId="Emphasis">
    <w:name w:val="Emphasis"/>
    <w:basedOn w:val="DefaultParagraphFont"/>
    <w:uiPriority w:val="20"/>
    <w:qFormat/>
    <w:rsid w:val="00A72C74"/>
    <w:rPr>
      <w:i/>
      <w:iCs/>
    </w:rPr>
  </w:style>
  <w:style w:type="character" w:styleId="FollowedHyperlink">
    <w:name w:val="FollowedHyperlink"/>
    <w:basedOn w:val="DefaultParagraphFont"/>
    <w:uiPriority w:val="99"/>
    <w:semiHidden/>
    <w:unhideWhenUsed/>
    <w:rsid w:val="00AC6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11267">
      <w:bodyDiv w:val="1"/>
      <w:marLeft w:val="0"/>
      <w:marRight w:val="0"/>
      <w:marTop w:val="0"/>
      <w:marBottom w:val="0"/>
      <w:divBdr>
        <w:top w:val="none" w:sz="0" w:space="0" w:color="auto"/>
        <w:left w:val="none" w:sz="0" w:space="0" w:color="auto"/>
        <w:bottom w:val="none" w:sz="0" w:space="0" w:color="auto"/>
        <w:right w:val="none" w:sz="0" w:space="0" w:color="auto"/>
      </w:divBdr>
    </w:div>
    <w:div w:id="20452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C6F1-7CB3-42AF-8903-A961D4AC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Filby</dc:creator>
  <cp:lastModifiedBy>Carroll, Chris</cp:lastModifiedBy>
  <cp:revision>3</cp:revision>
  <cp:lastPrinted>2018-12-20T09:13:00Z</cp:lastPrinted>
  <dcterms:created xsi:type="dcterms:W3CDTF">2021-07-26T14:45:00Z</dcterms:created>
  <dcterms:modified xsi:type="dcterms:W3CDTF">2021-07-27T10:51:00Z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